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E0A6B" w14:textId="77777777" w:rsidR="007947CE" w:rsidRDefault="007947CE" w:rsidP="00232C72">
      <w:pPr>
        <w:suppressAutoHyphens/>
        <w:jc w:val="center"/>
        <w:rPr>
          <w:rFonts w:ascii="Calibri" w:hAnsi="Calibri"/>
          <w:b/>
          <w:spacing w:val="-2"/>
          <w:szCs w:val="24"/>
        </w:rPr>
      </w:pPr>
    </w:p>
    <w:p w14:paraId="52526E75" w14:textId="77777777" w:rsidR="00354613" w:rsidRPr="005459DB" w:rsidRDefault="00540BDC" w:rsidP="00232C72">
      <w:pPr>
        <w:suppressAutoHyphens/>
        <w:jc w:val="center"/>
        <w:rPr>
          <w:rFonts w:ascii="Calibri" w:hAnsi="Calibri"/>
          <w:b/>
          <w:spacing w:val="-2"/>
          <w:szCs w:val="24"/>
        </w:rPr>
      </w:pPr>
      <w:r w:rsidRPr="005459DB">
        <w:rPr>
          <w:rFonts w:ascii="Calibri" w:hAnsi="Calibri"/>
          <w:b/>
          <w:spacing w:val="-2"/>
          <w:szCs w:val="24"/>
        </w:rPr>
        <w:t>American Association of State Highway and Transportation Officials</w:t>
      </w:r>
    </w:p>
    <w:p w14:paraId="3F645233" w14:textId="77777777" w:rsidR="00540BDC" w:rsidRDefault="00540BDC" w:rsidP="00232C72">
      <w:pPr>
        <w:suppressAutoHyphens/>
        <w:jc w:val="center"/>
        <w:rPr>
          <w:rFonts w:ascii="Calibri" w:hAnsi="Calibri"/>
          <w:b/>
          <w:spacing w:val="-2"/>
          <w:szCs w:val="24"/>
        </w:rPr>
      </w:pPr>
      <w:r w:rsidRPr="005459DB">
        <w:rPr>
          <w:rFonts w:ascii="Calibri" w:hAnsi="Calibri"/>
          <w:b/>
          <w:spacing w:val="-2"/>
          <w:szCs w:val="24"/>
        </w:rPr>
        <w:t>Special Committee on Research and Innovation</w:t>
      </w:r>
    </w:p>
    <w:p w14:paraId="06B24440" w14:textId="77777777" w:rsidR="00C53173" w:rsidRPr="005459DB" w:rsidRDefault="00C53173" w:rsidP="00232C72">
      <w:pPr>
        <w:suppressAutoHyphens/>
        <w:jc w:val="center"/>
        <w:rPr>
          <w:rFonts w:ascii="Calibri" w:hAnsi="Calibri"/>
          <w:b/>
          <w:spacing w:val="-2"/>
          <w:szCs w:val="24"/>
        </w:rPr>
      </w:pPr>
    </w:p>
    <w:p w14:paraId="7FF0F6EE" w14:textId="77777777" w:rsidR="00354613" w:rsidRPr="00935BAE" w:rsidRDefault="00935BAE" w:rsidP="00232C72">
      <w:pPr>
        <w:suppressAutoHyphens/>
        <w:jc w:val="center"/>
        <w:rPr>
          <w:rFonts w:ascii="Calibri" w:hAnsi="Calibri"/>
          <w:b/>
          <w:spacing w:val="-2"/>
          <w:szCs w:val="24"/>
        </w:rPr>
      </w:pPr>
      <w:r w:rsidRPr="00E4439B">
        <w:rPr>
          <w:rFonts w:ascii="Calibri" w:hAnsi="Calibri"/>
          <w:b/>
          <w:spacing w:val="-2"/>
        </w:rPr>
        <w:t xml:space="preserve">FY2021 NCHRP </w:t>
      </w:r>
      <w:r w:rsidRPr="00935BAE">
        <w:rPr>
          <w:rFonts w:ascii="Calibri" w:hAnsi="Calibri"/>
          <w:b/>
          <w:spacing w:val="-2"/>
          <w:szCs w:val="24"/>
        </w:rPr>
        <w:t>PROBLEM STATEMENT OUTLINE</w:t>
      </w:r>
    </w:p>
    <w:p w14:paraId="5A3E04B1" w14:textId="77777777" w:rsidR="00935BAE" w:rsidRDefault="00935BAE" w:rsidP="00232C72">
      <w:pPr>
        <w:suppressAutoHyphens/>
        <w:jc w:val="center"/>
        <w:rPr>
          <w:rFonts w:ascii="Calibri" w:hAnsi="Calibri"/>
          <w:spacing w:val="-2"/>
          <w:szCs w:val="24"/>
        </w:rPr>
      </w:pPr>
    </w:p>
    <w:p w14:paraId="1846DA70" w14:textId="0E98AAF2" w:rsidR="00CA51E7" w:rsidRPr="005459DB" w:rsidRDefault="00CA51E7" w:rsidP="00232C72">
      <w:pPr>
        <w:suppressAutoHyphens/>
        <w:jc w:val="center"/>
        <w:rPr>
          <w:rFonts w:ascii="Calibri" w:hAnsi="Calibri"/>
          <w:spacing w:val="-2"/>
          <w:szCs w:val="24"/>
        </w:rPr>
      </w:pPr>
    </w:p>
    <w:p w14:paraId="5A066FF4" w14:textId="77777777" w:rsidR="00354613" w:rsidRPr="005459DB" w:rsidRDefault="00A93A38" w:rsidP="00232C72">
      <w:pPr>
        <w:suppressAutoHyphens/>
        <w:contextualSpacing/>
        <w:rPr>
          <w:rFonts w:ascii="Calibri" w:hAnsi="Calibri"/>
          <w:b/>
          <w:spacing w:val="-2"/>
          <w:szCs w:val="24"/>
        </w:rPr>
      </w:pPr>
      <w:r w:rsidRPr="005459DB">
        <w:rPr>
          <w:rFonts w:ascii="Calibri" w:hAnsi="Calibri"/>
          <w:b/>
          <w:spacing w:val="-2"/>
          <w:szCs w:val="24"/>
        </w:rPr>
        <w:t>1</w:t>
      </w:r>
      <w:r w:rsidR="00354613" w:rsidRPr="005459DB">
        <w:rPr>
          <w:rFonts w:ascii="Calibri" w:hAnsi="Calibri"/>
          <w:b/>
          <w:spacing w:val="-2"/>
          <w:szCs w:val="24"/>
        </w:rPr>
        <w:t>.</w:t>
      </w:r>
      <w:r w:rsidR="00354613" w:rsidRPr="005459DB">
        <w:rPr>
          <w:rFonts w:ascii="Calibri" w:hAnsi="Calibri"/>
          <w:b/>
          <w:spacing w:val="-2"/>
          <w:szCs w:val="24"/>
        </w:rPr>
        <w:tab/>
      </w:r>
      <w:r w:rsidR="00540BDC" w:rsidRPr="005459DB">
        <w:rPr>
          <w:rFonts w:ascii="Calibri" w:hAnsi="Calibri"/>
          <w:b/>
          <w:spacing w:val="-2"/>
          <w:szCs w:val="24"/>
        </w:rPr>
        <w:t>Problem Title</w:t>
      </w:r>
    </w:p>
    <w:p w14:paraId="14CB86F5" w14:textId="47DCEE0F" w:rsidR="00354613" w:rsidRPr="007C4C57" w:rsidRDefault="007C4C57" w:rsidP="00232C72">
      <w:pPr>
        <w:suppressAutoHyphens/>
        <w:contextualSpacing/>
        <w:rPr>
          <w:rFonts w:ascii="Calibri" w:hAnsi="Calibri"/>
          <w:i/>
          <w:iCs/>
          <w:spacing w:val="-2"/>
          <w:szCs w:val="24"/>
        </w:rPr>
      </w:pPr>
      <w:r>
        <w:rPr>
          <w:rFonts w:ascii="Calibri" w:hAnsi="Calibri"/>
          <w:spacing w:val="-2"/>
          <w:szCs w:val="24"/>
        </w:rPr>
        <w:tab/>
      </w:r>
      <w:r>
        <w:rPr>
          <w:rFonts w:ascii="Calibri" w:hAnsi="Calibri"/>
          <w:i/>
          <w:iCs/>
          <w:spacing w:val="-2"/>
          <w:szCs w:val="24"/>
        </w:rPr>
        <w:t>Machine Vision Interface with Light Emitting Diode (LED) Traffic Control Device (TCD) Displays</w:t>
      </w:r>
    </w:p>
    <w:p w14:paraId="252A8C5B" w14:textId="77777777" w:rsidR="007C4C57" w:rsidRPr="005459DB" w:rsidRDefault="007C4C57" w:rsidP="003416F5">
      <w:pPr>
        <w:suppressAutoHyphens/>
        <w:ind w:left="720"/>
        <w:contextualSpacing/>
        <w:rPr>
          <w:rFonts w:ascii="Calibri" w:hAnsi="Calibri"/>
          <w:spacing w:val="-2"/>
          <w:szCs w:val="24"/>
        </w:rPr>
      </w:pPr>
    </w:p>
    <w:p w14:paraId="5F05285D" w14:textId="77777777" w:rsidR="00354613" w:rsidRPr="005459DB" w:rsidRDefault="00046483" w:rsidP="00232C72">
      <w:pPr>
        <w:suppressAutoHyphens/>
        <w:contextualSpacing/>
        <w:rPr>
          <w:rFonts w:ascii="Calibri" w:hAnsi="Calibri"/>
          <w:b/>
          <w:spacing w:val="-2"/>
          <w:szCs w:val="24"/>
        </w:rPr>
      </w:pPr>
      <w:r w:rsidRPr="005459DB">
        <w:rPr>
          <w:rFonts w:ascii="Calibri" w:hAnsi="Calibri"/>
          <w:b/>
          <w:spacing w:val="-2"/>
          <w:szCs w:val="24"/>
        </w:rPr>
        <w:t>2</w:t>
      </w:r>
      <w:r w:rsidR="00354613" w:rsidRPr="005459DB">
        <w:rPr>
          <w:rFonts w:ascii="Calibri" w:hAnsi="Calibri"/>
          <w:b/>
          <w:spacing w:val="-2"/>
          <w:szCs w:val="24"/>
        </w:rPr>
        <w:t>.</w:t>
      </w:r>
      <w:r w:rsidR="00354613" w:rsidRPr="005459DB">
        <w:rPr>
          <w:rFonts w:ascii="Calibri" w:hAnsi="Calibri"/>
          <w:b/>
          <w:spacing w:val="-2"/>
          <w:szCs w:val="24"/>
        </w:rPr>
        <w:tab/>
      </w:r>
      <w:r w:rsidR="00540BDC" w:rsidRPr="005459DB">
        <w:rPr>
          <w:rFonts w:ascii="Calibri" w:hAnsi="Calibri"/>
          <w:b/>
          <w:spacing w:val="-2"/>
          <w:szCs w:val="24"/>
        </w:rPr>
        <w:t>Background</w:t>
      </w:r>
    </w:p>
    <w:p w14:paraId="08CFED73" w14:textId="26033505" w:rsidR="00012EDA" w:rsidRPr="00012EDA" w:rsidRDefault="00012EDA" w:rsidP="00012EDA">
      <w:pPr>
        <w:ind w:left="720"/>
        <w:rPr>
          <w:rFonts w:asciiTheme="minorHAnsi" w:hAnsiTheme="minorHAnsi" w:cstheme="minorHAnsi"/>
          <w:i/>
          <w:iCs/>
          <w:sz w:val="22"/>
          <w:szCs w:val="22"/>
        </w:rPr>
      </w:pPr>
      <w:r w:rsidRPr="00012EDA">
        <w:rPr>
          <w:rFonts w:asciiTheme="minorHAnsi" w:hAnsiTheme="minorHAnsi" w:cstheme="minorHAnsi"/>
          <w:i/>
          <w:iCs/>
          <w:sz w:val="22"/>
          <w:szCs w:val="22"/>
        </w:rPr>
        <w:t xml:space="preserve">Light Emitting Diode (LED) Traffic Control Device (TCD) displays utilize pulse width modulated drivers to </w:t>
      </w:r>
      <w:r w:rsidR="00553B3D" w:rsidRPr="00012EDA">
        <w:rPr>
          <w:rFonts w:asciiTheme="minorHAnsi" w:hAnsiTheme="minorHAnsi" w:cstheme="minorHAnsi"/>
          <w:i/>
          <w:iCs/>
          <w:sz w:val="22"/>
          <w:szCs w:val="22"/>
        </w:rPr>
        <w:t xml:space="preserve">stabilize the color matrix </w:t>
      </w:r>
      <w:r w:rsidR="00553B3D">
        <w:rPr>
          <w:rFonts w:asciiTheme="minorHAnsi" w:hAnsiTheme="minorHAnsi" w:cstheme="minorHAnsi"/>
          <w:i/>
          <w:iCs/>
          <w:sz w:val="22"/>
          <w:szCs w:val="22"/>
        </w:rPr>
        <w:t xml:space="preserve">and </w:t>
      </w:r>
      <w:r w:rsidRPr="00012EDA">
        <w:rPr>
          <w:rFonts w:asciiTheme="minorHAnsi" w:hAnsiTheme="minorHAnsi" w:cstheme="minorHAnsi"/>
          <w:i/>
          <w:iCs/>
          <w:sz w:val="22"/>
          <w:szCs w:val="22"/>
        </w:rPr>
        <w:t>control</w:t>
      </w:r>
      <w:r w:rsidR="00553B3D">
        <w:rPr>
          <w:rFonts w:asciiTheme="minorHAnsi" w:hAnsiTheme="minorHAnsi" w:cstheme="minorHAnsi"/>
          <w:i/>
          <w:iCs/>
          <w:sz w:val="22"/>
          <w:szCs w:val="22"/>
        </w:rPr>
        <w:t xml:space="preserve"> both</w:t>
      </w:r>
      <w:r w:rsidRPr="00012EDA">
        <w:rPr>
          <w:rFonts w:asciiTheme="minorHAnsi" w:hAnsiTheme="minorHAnsi" w:cstheme="minorHAnsi"/>
          <w:i/>
          <w:iCs/>
          <w:sz w:val="22"/>
          <w:szCs w:val="22"/>
        </w:rPr>
        <w:t xml:space="preserve"> light intensity</w:t>
      </w:r>
      <w:r w:rsidR="00553B3D">
        <w:rPr>
          <w:rFonts w:asciiTheme="minorHAnsi" w:hAnsiTheme="minorHAnsi" w:cstheme="minorHAnsi"/>
          <w:i/>
          <w:iCs/>
          <w:sz w:val="22"/>
          <w:szCs w:val="22"/>
        </w:rPr>
        <w:t xml:space="preserve"> and </w:t>
      </w:r>
      <w:r w:rsidRPr="00012EDA">
        <w:rPr>
          <w:rFonts w:asciiTheme="minorHAnsi" w:hAnsiTheme="minorHAnsi" w:cstheme="minorHAnsi"/>
          <w:i/>
          <w:iCs/>
          <w:sz w:val="22"/>
          <w:szCs w:val="22"/>
        </w:rPr>
        <w:t>heat build-up.  The individual LEDs or blocks of LEDs in a display rapidly flash on and off at a rate invisible to the human eye.  In some full color matrix displays that contain Red, Green and Blue (RGB) LEDs the individual colors flash on and off at different rates.  Preliminary information indicates a 60 – 240 Hertz (Hz) cycle in existing LED TCDs including pavement markings, signs and signals.  In addition to TCDs, LEDs are prevalent in vehicle lighting (headlights, turn signals, brake lights, etc.) systems.</w:t>
      </w:r>
    </w:p>
    <w:p w14:paraId="2BD518F7" w14:textId="77777777" w:rsidR="00012EDA" w:rsidRPr="00012EDA" w:rsidRDefault="00012EDA" w:rsidP="00012EDA">
      <w:pPr>
        <w:ind w:left="720"/>
        <w:rPr>
          <w:rFonts w:asciiTheme="minorHAnsi" w:hAnsiTheme="minorHAnsi" w:cstheme="minorHAnsi"/>
          <w:i/>
          <w:iCs/>
          <w:sz w:val="22"/>
          <w:szCs w:val="22"/>
        </w:rPr>
      </w:pPr>
    </w:p>
    <w:p w14:paraId="292B7A72" w14:textId="35DE462B" w:rsidR="00012EDA" w:rsidRDefault="00012EDA" w:rsidP="00012EDA">
      <w:pPr>
        <w:ind w:left="720"/>
        <w:rPr>
          <w:rFonts w:asciiTheme="minorHAnsi" w:hAnsiTheme="minorHAnsi" w:cstheme="minorHAnsi"/>
          <w:i/>
          <w:iCs/>
          <w:sz w:val="22"/>
          <w:szCs w:val="22"/>
        </w:rPr>
      </w:pPr>
      <w:r w:rsidRPr="00012EDA">
        <w:rPr>
          <w:rFonts w:asciiTheme="minorHAnsi" w:hAnsiTheme="minorHAnsi" w:cstheme="minorHAnsi"/>
          <w:i/>
          <w:iCs/>
          <w:sz w:val="22"/>
          <w:szCs w:val="22"/>
        </w:rPr>
        <w:t xml:space="preserve">In an Automated Driving Systems (ADS) cameras are a sensor component capable of detecting an electronic display </w:t>
      </w:r>
      <w:r w:rsidR="00553B3D">
        <w:rPr>
          <w:rFonts w:asciiTheme="minorHAnsi" w:hAnsiTheme="minorHAnsi" w:cstheme="minorHAnsi"/>
          <w:i/>
          <w:iCs/>
          <w:sz w:val="22"/>
          <w:szCs w:val="22"/>
        </w:rPr>
        <w:t xml:space="preserve">TCD </w:t>
      </w:r>
      <w:r w:rsidRPr="00012EDA">
        <w:rPr>
          <w:rFonts w:asciiTheme="minorHAnsi" w:hAnsiTheme="minorHAnsi" w:cstheme="minorHAnsi"/>
          <w:i/>
          <w:iCs/>
          <w:sz w:val="22"/>
          <w:szCs w:val="22"/>
        </w:rPr>
        <w:t>and recognizing the message provided.  ADS camera shutter speeds are typically set at high rates to avoid motion blur</w:t>
      </w:r>
      <w:r w:rsidR="00553B3D">
        <w:rPr>
          <w:rFonts w:asciiTheme="minorHAnsi" w:hAnsiTheme="minorHAnsi" w:cstheme="minorHAnsi"/>
          <w:i/>
          <w:iCs/>
          <w:sz w:val="22"/>
          <w:szCs w:val="22"/>
        </w:rPr>
        <w:t>. The variation between the shutter speed of the detection and the refresh rates of the LED TCDs can lead to blank panels or display elements.</w:t>
      </w:r>
    </w:p>
    <w:p w14:paraId="1BE8A021" w14:textId="340EA9F1" w:rsidR="00012EDA" w:rsidRDefault="00012EDA" w:rsidP="00012EDA">
      <w:pPr>
        <w:ind w:left="720"/>
        <w:rPr>
          <w:rFonts w:asciiTheme="minorHAnsi" w:hAnsiTheme="minorHAnsi" w:cstheme="minorHAnsi"/>
          <w:i/>
          <w:iCs/>
          <w:sz w:val="22"/>
          <w:szCs w:val="22"/>
        </w:rPr>
      </w:pPr>
    </w:p>
    <w:p w14:paraId="5AED9F5C" w14:textId="7F6A3A0F" w:rsidR="002E2B61" w:rsidRDefault="002E2B61" w:rsidP="00012EDA">
      <w:pPr>
        <w:ind w:left="720"/>
        <w:rPr>
          <w:rFonts w:asciiTheme="minorHAnsi" w:hAnsiTheme="minorHAnsi" w:cstheme="minorHAnsi"/>
          <w:i/>
          <w:iCs/>
          <w:sz w:val="22"/>
          <w:szCs w:val="22"/>
        </w:rPr>
      </w:pPr>
      <w:r>
        <w:rPr>
          <w:rFonts w:asciiTheme="minorHAnsi" w:hAnsiTheme="minorHAnsi" w:cstheme="minorHAnsi"/>
          <w:i/>
          <w:iCs/>
          <w:noProof/>
          <w:sz w:val="22"/>
          <w:szCs w:val="22"/>
        </w:rPr>
        <mc:AlternateContent>
          <mc:Choice Requires="wps">
            <w:drawing>
              <wp:inline distT="0" distB="0" distL="0" distR="0" wp14:anchorId="66082AD3" wp14:editId="48C56C91">
                <wp:extent cx="2743200" cy="1371600"/>
                <wp:effectExtent l="0" t="0" r="19050" b="19050"/>
                <wp:docPr id="1" name="Text Box 1"/>
                <wp:cNvGraphicFramePr/>
                <a:graphic xmlns:a="http://schemas.openxmlformats.org/drawingml/2006/main">
                  <a:graphicData uri="http://schemas.microsoft.com/office/word/2010/wordprocessingShape">
                    <wps:wsp>
                      <wps:cNvSpPr txBox="1"/>
                      <wps:spPr>
                        <a:xfrm>
                          <a:off x="0" y="0"/>
                          <a:ext cx="2743200" cy="1371600"/>
                        </a:xfrm>
                        <a:prstGeom prst="rect">
                          <a:avLst/>
                        </a:prstGeom>
                        <a:solidFill>
                          <a:schemeClr val="lt1"/>
                        </a:solidFill>
                        <a:ln w="6350">
                          <a:solidFill>
                            <a:prstClr val="black"/>
                          </a:solidFill>
                        </a:ln>
                      </wps:spPr>
                      <wps:txbx>
                        <w:txbxContent>
                          <w:p w14:paraId="2A824E8D" w14:textId="2612936F" w:rsidR="002E2B61" w:rsidRDefault="002E2B61">
                            <w:r>
                              <w:rPr>
                                <w:noProof/>
                                <w:sz w:val="22"/>
                                <w:szCs w:val="22"/>
                              </w:rPr>
                              <w:drawing>
                                <wp:inline distT="0" distB="0" distL="114300" distR="114300" wp14:anchorId="31AEDD9F" wp14:editId="01DAC99F">
                                  <wp:extent cx="2553970" cy="1209689"/>
                                  <wp:effectExtent l="0" t="0" r="0" b="9525"/>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553970" cy="1209689"/>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6082AD3" id="_x0000_t202" coordsize="21600,21600" o:spt="202" path="m,l,21600r21600,l21600,xe">
                <v:stroke joinstyle="miter"/>
                <v:path gradientshapeok="t" o:connecttype="rect"/>
              </v:shapetype>
              <v:shape id="Text Box 1" o:spid="_x0000_s1026" type="#_x0000_t202" style="width:3in;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" fillcolor="white [3201]" strokeweight=".5pt">
                <v:textbox>
                  <w:txbxContent>
                    <w:p w14:paraId="2A824E8D" w14:textId="2612936F" w:rsidR="002E2B61" w:rsidRDefault="002E2B61">
                      <w:r>
                        <w:rPr>
                          <w:noProof/>
                          <w:sz w:val="22"/>
                          <w:szCs w:val="22"/>
                        </w:rPr>
                        <w:drawing>
                          <wp:inline distT="0" distB="0" distL="114300" distR="114300" wp14:anchorId="31AEDD9F" wp14:editId="01DAC99F">
                            <wp:extent cx="2553970" cy="1209689"/>
                            <wp:effectExtent l="0" t="0" r="0" b="9525"/>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553970" cy="1209689"/>
                                    </a:xfrm>
                                    <a:prstGeom prst="rect">
                                      <a:avLst/>
                                    </a:prstGeom>
                                    <a:ln/>
                                  </pic:spPr>
                                </pic:pic>
                              </a:graphicData>
                            </a:graphic>
                          </wp:inline>
                        </w:drawing>
                      </w:r>
                    </w:p>
                  </w:txbxContent>
                </v:textbox>
                <w10:anchorlock/>
              </v:shape>
            </w:pict>
          </mc:Fallback>
        </mc:AlternateContent>
      </w:r>
      <w:r>
        <w:rPr>
          <w:rFonts w:asciiTheme="minorHAnsi" w:hAnsiTheme="minorHAnsi" w:cstheme="minorHAnsi"/>
          <w:i/>
          <w:iCs/>
          <w:sz w:val="22"/>
          <w:szCs w:val="22"/>
        </w:rPr>
        <w:tab/>
      </w:r>
      <w:r>
        <w:rPr>
          <w:rFonts w:asciiTheme="minorHAnsi" w:hAnsiTheme="minorHAnsi" w:cstheme="minorHAnsi"/>
          <w:i/>
          <w:iCs/>
          <w:noProof/>
          <w:sz w:val="22"/>
          <w:szCs w:val="22"/>
        </w:rPr>
        <mc:AlternateContent>
          <mc:Choice Requires="wps">
            <w:drawing>
              <wp:inline distT="0" distB="0" distL="0" distR="0" wp14:anchorId="483E6E58" wp14:editId="1E1BF6D2">
                <wp:extent cx="2743200" cy="1371600"/>
                <wp:effectExtent l="0" t="0" r="19050" b="19050"/>
                <wp:docPr id="3" name="Text Box 3"/>
                <wp:cNvGraphicFramePr/>
                <a:graphic xmlns:a="http://schemas.openxmlformats.org/drawingml/2006/main">
                  <a:graphicData uri="http://schemas.microsoft.com/office/word/2010/wordprocessingShape">
                    <wps:wsp>
                      <wps:cNvSpPr txBox="1"/>
                      <wps:spPr>
                        <a:xfrm>
                          <a:off x="0" y="0"/>
                          <a:ext cx="2743200" cy="1371600"/>
                        </a:xfrm>
                        <a:prstGeom prst="rect">
                          <a:avLst/>
                        </a:prstGeom>
                        <a:solidFill>
                          <a:sysClr val="window" lastClr="FFFFFF"/>
                        </a:solidFill>
                        <a:ln w="6350">
                          <a:solidFill>
                            <a:prstClr val="black"/>
                          </a:solidFill>
                        </a:ln>
                      </wps:spPr>
                      <wps:txbx>
                        <w:txbxContent>
                          <w:p w14:paraId="7CF3E559" w14:textId="2B9F68BE" w:rsidR="002E2B61" w:rsidRDefault="002E2B61" w:rsidP="002E2B61">
                            <w:r>
                              <w:rPr>
                                <w:noProof/>
                                <w:sz w:val="22"/>
                                <w:szCs w:val="22"/>
                              </w:rPr>
                              <w:drawing>
                                <wp:inline distT="0" distB="0" distL="114300" distR="114300" wp14:anchorId="1D821060" wp14:editId="04D3225B">
                                  <wp:extent cx="2553970" cy="1166839"/>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53970" cy="1166839"/>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3E6E58" id="Text Box 3" o:spid="_x0000_s1027" type="#_x0000_t202" style="width:3in;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" fillcolor="window" strokeweight=".5pt">
                <v:textbox>
                  <w:txbxContent>
                    <w:p w14:paraId="7CF3E559" w14:textId="2B9F68BE" w:rsidR="002E2B61" w:rsidRDefault="002E2B61" w:rsidP="002E2B61">
                      <w:r>
                        <w:rPr>
                          <w:noProof/>
                          <w:sz w:val="22"/>
                          <w:szCs w:val="22"/>
                        </w:rPr>
                        <w:drawing>
                          <wp:inline distT="0" distB="0" distL="114300" distR="114300" wp14:anchorId="1D821060" wp14:editId="04D3225B">
                            <wp:extent cx="2553970" cy="1166839"/>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53970" cy="1166839"/>
                                    </a:xfrm>
                                    <a:prstGeom prst="rect">
                                      <a:avLst/>
                                    </a:prstGeom>
                                    <a:ln/>
                                  </pic:spPr>
                                </pic:pic>
                              </a:graphicData>
                            </a:graphic>
                          </wp:inline>
                        </w:drawing>
                      </w:r>
                    </w:p>
                  </w:txbxContent>
                </v:textbox>
                <w10:anchorlock/>
              </v:shape>
            </w:pict>
          </mc:Fallback>
        </mc:AlternateContent>
      </w:r>
    </w:p>
    <w:p w14:paraId="29424417" w14:textId="7DA1CC6B" w:rsidR="00F7759A" w:rsidRDefault="00F7759A" w:rsidP="00012EDA">
      <w:pPr>
        <w:ind w:left="720"/>
        <w:rPr>
          <w:rFonts w:asciiTheme="minorHAnsi" w:hAnsiTheme="minorHAnsi" w:cstheme="minorHAnsi"/>
          <w:i/>
          <w:iCs/>
          <w:sz w:val="22"/>
          <w:szCs w:val="22"/>
        </w:rPr>
      </w:pPr>
      <w:r>
        <w:rPr>
          <w:rFonts w:asciiTheme="minorHAnsi" w:hAnsiTheme="minorHAnsi" w:cstheme="minorHAnsi"/>
          <w:i/>
          <w:iCs/>
          <w:noProof/>
          <w:sz w:val="22"/>
          <w:szCs w:val="22"/>
        </w:rPr>
        <mc:AlternateContent>
          <mc:Choice Requires="wps">
            <w:drawing>
              <wp:inline distT="0" distB="0" distL="0" distR="0" wp14:anchorId="27628A0B" wp14:editId="1BD519DA">
                <wp:extent cx="2743200" cy="548640"/>
                <wp:effectExtent l="0" t="0" r="19050" b="22860"/>
                <wp:docPr id="5" name="Text Box 5"/>
                <wp:cNvGraphicFramePr/>
                <a:graphic xmlns:a="http://schemas.openxmlformats.org/drawingml/2006/main">
                  <a:graphicData uri="http://schemas.microsoft.com/office/word/2010/wordprocessingShape">
                    <wps:wsp>
                      <wps:cNvSpPr txBox="1"/>
                      <wps:spPr>
                        <a:xfrm>
                          <a:off x="0" y="0"/>
                          <a:ext cx="2743200" cy="548640"/>
                        </a:xfrm>
                        <a:prstGeom prst="rect">
                          <a:avLst/>
                        </a:prstGeom>
                        <a:solidFill>
                          <a:sysClr val="window" lastClr="FFFFFF"/>
                        </a:solidFill>
                        <a:ln w="6350">
                          <a:solidFill>
                            <a:prstClr val="black"/>
                          </a:solidFill>
                        </a:ln>
                      </wps:spPr>
                      <wps:txbx>
                        <w:txbxContent>
                          <w:p w14:paraId="207AF69C" w14:textId="4B4C1E46" w:rsidR="00F7759A" w:rsidRPr="00F7759A" w:rsidRDefault="00F7759A" w:rsidP="00F7759A">
                            <w:pPr>
                              <w:rPr>
                                <w:rFonts w:asciiTheme="minorHAnsi" w:hAnsiTheme="minorHAnsi" w:cstheme="minorHAnsi"/>
                                <w:sz w:val="20"/>
                              </w:rPr>
                            </w:pPr>
                            <w:r w:rsidRPr="00F7759A">
                              <w:rPr>
                                <w:rFonts w:asciiTheme="minorHAnsi" w:hAnsiTheme="minorHAnsi" w:cstheme="minorHAnsi"/>
                                <w:color w:val="000000"/>
                                <w:sz w:val="20"/>
                              </w:rPr>
                              <w:t xml:space="preserve">Figure 1:  </w:t>
                            </w:r>
                            <w:r w:rsidRPr="00F7759A">
                              <w:rPr>
                                <w:rFonts w:asciiTheme="minorHAnsi" w:hAnsiTheme="minorHAnsi" w:cstheme="minorHAnsi"/>
                                <w:color w:val="000000"/>
                                <w:sz w:val="20"/>
                              </w:rPr>
                              <w:t xml:space="preserve">Flicker Example - Both red signal heads are lit to </w:t>
                            </w:r>
                            <w:r w:rsidRPr="00F7759A">
                              <w:rPr>
                                <w:rFonts w:asciiTheme="minorHAnsi" w:hAnsiTheme="minorHAnsi" w:cstheme="minorHAnsi"/>
                                <w:sz w:val="20"/>
                              </w:rPr>
                              <w:t>the human eye</w:t>
                            </w:r>
                            <w:r w:rsidRPr="00F7759A">
                              <w:rPr>
                                <w:rFonts w:asciiTheme="minorHAnsi" w:hAnsiTheme="minorHAnsi" w:cstheme="minorHAnsi"/>
                                <w:color w:val="000000"/>
                                <w:sz w:val="20"/>
                              </w:rPr>
                              <w:t>, however in this image, one signal head appears to be dark.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628A0B" id="Text Box 5" o:spid="_x0000_s1028" type="#_x0000_t202" style="width:3in;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" fillcolor="window" strokeweight=".5pt">
                <v:textbox>
                  <w:txbxContent>
                    <w:p w14:paraId="207AF69C" w14:textId="4B4C1E46" w:rsidR="00F7759A" w:rsidRPr="00F7759A" w:rsidRDefault="00F7759A" w:rsidP="00F7759A">
                      <w:pPr>
                        <w:rPr>
                          <w:rFonts w:asciiTheme="minorHAnsi" w:hAnsiTheme="minorHAnsi" w:cstheme="minorHAnsi"/>
                          <w:sz w:val="20"/>
                        </w:rPr>
                      </w:pPr>
                      <w:r w:rsidRPr="00F7759A">
                        <w:rPr>
                          <w:rFonts w:asciiTheme="minorHAnsi" w:hAnsiTheme="minorHAnsi" w:cstheme="minorHAnsi"/>
                          <w:color w:val="000000"/>
                          <w:sz w:val="20"/>
                        </w:rPr>
                        <w:t xml:space="preserve">Figure 1:  </w:t>
                      </w:r>
                      <w:r w:rsidRPr="00F7759A">
                        <w:rPr>
                          <w:rFonts w:asciiTheme="minorHAnsi" w:hAnsiTheme="minorHAnsi" w:cstheme="minorHAnsi"/>
                          <w:color w:val="000000"/>
                          <w:sz w:val="20"/>
                        </w:rPr>
                        <w:t xml:space="preserve">Flicker Example - Both red signal heads are lit to </w:t>
                      </w:r>
                      <w:r w:rsidRPr="00F7759A">
                        <w:rPr>
                          <w:rFonts w:asciiTheme="minorHAnsi" w:hAnsiTheme="minorHAnsi" w:cstheme="minorHAnsi"/>
                          <w:sz w:val="20"/>
                        </w:rPr>
                        <w:t>the human eye</w:t>
                      </w:r>
                      <w:r w:rsidRPr="00F7759A">
                        <w:rPr>
                          <w:rFonts w:asciiTheme="minorHAnsi" w:hAnsiTheme="minorHAnsi" w:cstheme="minorHAnsi"/>
                          <w:color w:val="000000"/>
                          <w:sz w:val="20"/>
                        </w:rPr>
                        <w:t>, however in this image, one signal head appears to be dark.</w:t>
                      </w:r>
                    </w:p>
                  </w:txbxContent>
                </v:textbox>
                <w10:anchorlock/>
              </v:shape>
            </w:pict>
          </mc:Fallback>
        </mc:AlternateContent>
      </w:r>
      <w:r>
        <w:rPr>
          <w:rFonts w:asciiTheme="minorHAnsi" w:hAnsiTheme="minorHAnsi" w:cstheme="minorHAnsi"/>
          <w:i/>
          <w:iCs/>
          <w:sz w:val="22"/>
          <w:szCs w:val="22"/>
        </w:rPr>
        <w:tab/>
      </w:r>
      <w:r>
        <w:rPr>
          <w:rFonts w:asciiTheme="minorHAnsi" w:hAnsiTheme="minorHAnsi" w:cstheme="minorHAnsi"/>
          <w:i/>
          <w:iCs/>
          <w:noProof/>
          <w:sz w:val="22"/>
          <w:szCs w:val="22"/>
        </w:rPr>
        <mc:AlternateContent>
          <mc:Choice Requires="wps">
            <w:drawing>
              <wp:inline distT="0" distB="0" distL="0" distR="0" wp14:anchorId="432C11E4" wp14:editId="0CB73CC3">
                <wp:extent cx="2743200" cy="548640"/>
                <wp:effectExtent l="0" t="0" r="19050" b="22860"/>
                <wp:docPr id="10" name="Text Box 10"/>
                <wp:cNvGraphicFramePr/>
                <a:graphic xmlns:a="http://schemas.openxmlformats.org/drawingml/2006/main">
                  <a:graphicData uri="http://schemas.microsoft.com/office/word/2010/wordprocessingShape">
                    <wps:wsp>
                      <wps:cNvSpPr txBox="1"/>
                      <wps:spPr>
                        <a:xfrm>
                          <a:off x="0" y="0"/>
                          <a:ext cx="2743200" cy="548640"/>
                        </a:xfrm>
                        <a:prstGeom prst="rect">
                          <a:avLst/>
                        </a:prstGeom>
                        <a:solidFill>
                          <a:sysClr val="window" lastClr="FFFFFF"/>
                        </a:solidFill>
                        <a:ln w="6350">
                          <a:solidFill>
                            <a:prstClr val="black"/>
                          </a:solidFill>
                        </a:ln>
                      </wps:spPr>
                      <wps:txbx>
                        <w:txbxContent>
                          <w:p w14:paraId="0572279D" w14:textId="77777777" w:rsidR="00F7759A" w:rsidRPr="00F7759A" w:rsidRDefault="00F7759A" w:rsidP="00F7759A">
                            <w:pPr>
                              <w:pBdr>
                                <w:top w:val="nil"/>
                                <w:left w:val="nil"/>
                                <w:bottom w:val="nil"/>
                                <w:right w:val="nil"/>
                                <w:between w:val="nil"/>
                              </w:pBdr>
                              <w:jc w:val="both"/>
                              <w:rPr>
                                <w:rFonts w:asciiTheme="minorHAnsi" w:hAnsiTheme="minorHAnsi" w:cstheme="minorHAnsi"/>
                                <w:color w:val="000000"/>
                                <w:sz w:val="20"/>
                              </w:rPr>
                            </w:pPr>
                            <w:r w:rsidRPr="00F7759A">
                              <w:rPr>
                                <w:rFonts w:asciiTheme="minorHAnsi" w:hAnsiTheme="minorHAnsi" w:cstheme="minorHAnsi"/>
                                <w:color w:val="000000"/>
                                <w:sz w:val="20"/>
                              </w:rPr>
                              <w:t>Figure 2:  Ghosting Example - On a full color matrix sign, blue and green blocks appear in the image but a</w:t>
                            </w:r>
                            <w:r w:rsidRPr="00F7759A">
                              <w:rPr>
                                <w:rFonts w:asciiTheme="minorHAnsi" w:hAnsiTheme="minorHAnsi" w:cstheme="minorHAnsi"/>
                                <w:sz w:val="20"/>
                              </w:rPr>
                              <w:t>re not visible to the human eye</w:t>
                            </w:r>
                            <w:r w:rsidRPr="00F7759A">
                              <w:rPr>
                                <w:rFonts w:asciiTheme="minorHAnsi" w:hAnsiTheme="minorHAnsi" w:cstheme="minorHAnsi"/>
                                <w:color w:val="000000"/>
                                <w:sz w:val="20"/>
                              </w:rPr>
                              <w:t>.</w:t>
                            </w:r>
                          </w:p>
                          <w:p w14:paraId="2F894986" w14:textId="7C1324A7" w:rsidR="00F7759A" w:rsidRPr="00F7759A" w:rsidRDefault="00F7759A" w:rsidP="00F7759A">
                            <w:pPr>
                              <w:jc w:val="both"/>
                              <w:rPr>
                                <w:rFonts w:ascii="Arial Narrow" w:hAnsi="Arial Narrow"/>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2C11E4" id="Text Box 10" o:spid="_x0000_s1029" type="#_x0000_t202" style="width:3in;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" fillcolor="window" strokeweight=".5pt">
                <v:textbox>
                  <w:txbxContent>
                    <w:p w14:paraId="0572279D" w14:textId="77777777" w:rsidR="00F7759A" w:rsidRPr="00F7759A" w:rsidRDefault="00F7759A" w:rsidP="00F7759A">
                      <w:pPr>
                        <w:pBdr>
                          <w:top w:val="nil"/>
                          <w:left w:val="nil"/>
                          <w:bottom w:val="nil"/>
                          <w:right w:val="nil"/>
                          <w:between w:val="nil"/>
                        </w:pBdr>
                        <w:jc w:val="both"/>
                        <w:rPr>
                          <w:rFonts w:asciiTheme="minorHAnsi" w:hAnsiTheme="minorHAnsi" w:cstheme="minorHAnsi"/>
                          <w:color w:val="000000"/>
                          <w:sz w:val="20"/>
                        </w:rPr>
                      </w:pPr>
                      <w:r w:rsidRPr="00F7759A">
                        <w:rPr>
                          <w:rFonts w:asciiTheme="minorHAnsi" w:hAnsiTheme="minorHAnsi" w:cstheme="minorHAnsi"/>
                          <w:color w:val="000000"/>
                          <w:sz w:val="20"/>
                        </w:rPr>
                        <w:t>Figure 2:  Ghosting Example - On a full color matrix sign, blue and green blocks appear in the image but a</w:t>
                      </w:r>
                      <w:r w:rsidRPr="00F7759A">
                        <w:rPr>
                          <w:rFonts w:asciiTheme="minorHAnsi" w:hAnsiTheme="minorHAnsi" w:cstheme="minorHAnsi"/>
                          <w:sz w:val="20"/>
                        </w:rPr>
                        <w:t>re not visible to the human eye</w:t>
                      </w:r>
                      <w:r w:rsidRPr="00F7759A">
                        <w:rPr>
                          <w:rFonts w:asciiTheme="minorHAnsi" w:hAnsiTheme="minorHAnsi" w:cstheme="minorHAnsi"/>
                          <w:color w:val="000000"/>
                          <w:sz w:val="20"/>
                        </w:rPr>
                        <w:t>.</w:t>
                      </w:r>
                    </w:p>
                    <w:p w14:paraId="2F894986" w14:textId="7C1324A7" w:rsidR="00F7759A" w:rsidRPr="00F7759A" w:rsidRDefault="00F7759A" w:rsidP="00F7759A">
                      <w:pPr>
                        <w:jc w:val="both"/>
                        <w:rPr>
                          <w:rFonts w:ascii="Arial Narrow" w:hAnsi="Arial Narrow"/>
                          <w:sz w:val="20"/>
                        </w:rPr>
                      </w:pPr>
                    </w:p>
                  </w:txbxContent>
                </v:textbox>
                <w10:anchorlock/>
              </v:shape>
            </w:pict>
          </mc:Fallback>
        </mc:AlternateContent>
      </w:r>
    </w:p>
    <w:p w14:paraId="007B48A2" w14:textId="77777777" w:rsidR="00F7759A" w:rsidRDefault="00F7759A" w:rsidP="00012EDA">
      <w:pPr>
        <w:ind w:left="720"/>
        <w:rPr>
          <w:rFonts w:asciiTheme="minorHAnsi" w:hAnsiTheme="minorHAnsi" w:cstheme="minorHAnsi"/>
          <w:i/>
          <w:iCs/>
          <w:sz w:val="22"/>
          <w:szCs w:val="22"/>
        </w:rPr>
      </w:pPr>
    </w:p>
    <w:p w14:paraId="52E53EA8" w14:textId="4F72C1A2" w:rsidR="00012EDA" w:rsidRPr="00012EDA" w:rsidRDefault="00012EDA" w:rsidP="00012EDA">
      <w:pPr>
        <w:ind w:left="720"/>
        <w:rPr>
          <w:rFonts w:asciiTheme="minorHAnsi" w:hAnsiTheme="minorHAnsi" w:cstheme="minorHAnsi"/>
          <w:i/>
          <w:iCs/>
          <w:sz w:val="22"/>
          <w:szCs w:val="22"/>
        </w:rPr>
      </w:pPr>
      <w:r w:rsidRPr="00012EDA">
        <w:rPr>
          <w:rFonts w:asciiTheme="minorHAnsi" w:hAnsiTheme="minorHAnsi" w:cstheme="minorHAnsi"/>
          <w:i/>
          <w:iCs/>
          <w:sz w:val="22"/>
          <w:szCs w:val="22"/>
        </w:rPr>
        <w:t xml:space="preserve">LED TCD displays </w:t>
      </w:r>
      <w:r w:rsidR="00553B3D">
        <w:rPr>
          <w:rFonts w:asciiTheme="minorHAnsi" w:hAnsiTheme="minorHAnsi" w:cstheme="minorHAnsi"/>
          <w:i/>
          <w:iCs/>
          <w:sz w:val="22"/>
          <w:szCs w:val="22"/>
        </w:rPr>
        <w:t>are a critical element of</w:t>
      </w:r>
      <w:r w:rsidRPr="00012EDA">
        <w:rPr>
          <w:rFonts w:asciiTheme="minorHAnsi" w:hAnsiTheme="minorHAnsi" w:cstheme="minorHAnsi"/>
          <w:i/>
          <w:iCs/>
          <w:sz w:val="22"/>
          <w:szCs w:val="22"/>
        </w:rPr>
        <w:t xml:space="preserve"> the </w:t>
      </w:r>
      <w:r w:rsidR="00553B3D">
        <w:rPr>
          <w:rFonts w:asciiTheme="minorHAnsi" w:hAnsiTheme="minorHAnsi" w:cstheme="minorHAnsi"/>
          <w:i/>
          <w:iCs/>
          <w:sz w:val="22"/>
          <w:szCs w:val="22"/>
        </w:rPr>
        <w:t>n</w:t>
      </w:r>
      <w:r w:rsidRPr="00012EDA">
        <w:rPr>
          <w:rFonts w:asciiTheme="minorHAnsi" w:hAnsiTheme="minorHAnsi" w:cstheme="minorHAnsi"/>
          <w:i/>
          <w:iCs/>
          <w:sz w:val="22"/>
          <w:szCs w:val="22"/>
        </w:rPr>
        <w:t xml:space="preserve">ation’s transportation system management operations (TSMO) </w:t>
      </w:r>
      <w:r w:rsidR="00553B3D">
        <w:rPr>
          <w:rFonts w:asciiTheme="minorHAnsi" w:hAnsiTheme="minorHAnsi" w:cstheme="minorHAnsi"/>
          <w:i/>
          <w:iCs/>
          <w:sz w:val="22"/>
          <w:szCs w:val="22"/>
        </w:rPr>
        <w:t>infrastructure</w:t>
      </w:r>
      <w:r w:rsidRPr="00012EDA">
        <w:rPr>
          <w:rFonts w:asciiTheme="minorHAnsi" w:hAnsiTheme="minorHAnsi" w:cstheme="minorHAnsi"/>
          <w:i/>
          <w:iCs/>
          <w:sz w:val="22"/>
          <w:szCs w:val="22"/>
        </w:rPr>
        <w:t>.  LED TCD displays have a five (5) year for portable equipment to twenty-five (25) year life cycle for larger investment</w:t>
      </w:r>
      <w:r w:rsidR="00553B3D">
        <w:rPr>
          <w:rFonts w:asciiTheme="minorHAnsi" w:hAnsiTheme="minorHAnsi" w:cstheme="minorHAnsi"/>
          <w:i/>
          <w:iCs/>
          <w:sz w:val="22"/>
          <w:szCs w:val="22"/>
        </w:rPr>
        <w:t>s</w:t>
      </w:r>
      <w:r w:rsidRPr="00012EDA">
        <w:rPr>
          <w:rFonts w:asciiTheme="minorHAnsi" w:hAnsiTheme="minorHAnsi" w:cstheme="minorHAnsi"/>
          <w:i/>
          <w:iCs/>
          <w:sz w:val="22"/>
          <w:szCs w:val="22"/>
        </w:rPr>
        <w:t xml:space="preserve"> </w:t>
      </w:r>
      <w:r w:rsidR="00553B3D">
        <w:rPr>
          <w:rFonts w:asciiTheme="minorHAnsi" w:hAnsiTheme="minorHAnsi" w:cstheme="minorHAnsi"/>
          <w:i/>
          <w:iCs/>
          <w:sz w:val="22"/>
          <w:szCs w:val="22"/>
        </w:rPr>
        <w:t>(</w:t>
      </w:r>
      <w:r w:rsidRPr="00012EDA">
        <w:rPr>
          <w:rFonts w:asciiTheme="minorHAnsi" w:hAnsiTheme="minorHAnsi" w:cstheme="minorHAnsi"/>
          <w:i/>
          <w:iCs/>
          <w:sz w:val="22"/>
          <w:szCs w:val="22"/>
        </w:rPr>
        <w:t>such as overhead signals and dynamic message signs</w:t>
      </w:r>
      <w:r w:rsidR="00553B3D">
        <w:rPr>
          <w:rFonts w:asciiTheme="minorHAnsi" w:hAnsiTheme="minorHAnsi" w:cstheme="minorHAnsi"/>
          <w:i/>
          <w:iCs/>
          <w:sz w:val="22"/>
          <w:szCs w:val="22"/>
        </w:rPr>
        <w:t>)</w:t>
      </w:r>
      <w:r w:rsidRPr="00012EDA">
        <w:rPr>
          <w:rFonts w:asciiTheme="minorHAnsi" w:hAnsiTheme="minorHAnsi" w:cstheme="minorHAnsi"/>
          <w:i/>
          <w:iCs/>
          <w:sz w:val="22"/>
          <w:szCs w:val="22"/>
        </w:rPr>
        <w:t>.  Various reports on the nations automobile fleet replacement cycle indicates that the typical vehicle on the roadway is approximately 12 years old</w:t>
      </w:r>
      <w:r w:rsidRPr="00012EDA">
        <w:rPr>
          <w:rFonts w:asciiTheme="minorHAnsi" w:hAnsiTheme="minorHAnsi" w:cstheme="minorHAnsi"/>
          <w:i/>
          <w:iCs/>
          <w:sz w:val="22"/>
          <w:szCs w:val="22"/>
          <w:vertAlign w:val="superscript"/>
        </w:rPr>
        <w:footnoteReference w:id="2"/>
      </w:r>
      <w:r w:rsidRPr="00012EDA">
        <w:rPr>
          <w:rFonts w:asciiTheme="minorHAnsi" w:hAnsiTheme="minorHAnsi" w:cstheme="minorHAnsi"/>
          <w:i/>
          <w:iCs/>
          <w:sz w:val="22"/>
          <w:szCs w:val="22"/>
        </w:rPr>
        <w:t>.  Considering the long lead time for conversion of the nation’s automotive fleet and its transportation infrastructure, NOW is the ideal time to develop a collaborative, industry-supported ADS Machine Vision Interface with LED</w:t>
      </w:r>
      <w:r w:rsidR="00276D29">
        <w:rPr>
          <w:rFonts w:asciiTheme="minorHAnsi" w:hAnsiTheme="minorHAnsi" w:cstheme="minorHAnsi"/>
          <w:i/>
          <w:iCs/>
          <w:sz w:val="22"/>
          <w:szCs w:val="22"/>
        </w:rPr>
        <w:t xml:space="preserve"> </w:t>
      </w:r>
      <w:r w:rsidRPr="00012EDA">
        <w:rPr>
          <w:rFonts w:asciiTheme="minorHAnsi" w:hAnsiTheme="minorHAnsi" w:cstheme="minorHAnsi"/>
          <w:i/>
          <w:iCs/>
          <w:sz w:val="22"/>
          <w:szCs w:val="22"/>
        </w:rPr>
        <w:t xml:space="preserve">TCD </w:t>
      </w:r>
      <w:r w:rsidR="00553B3D">
        <w:rPr>
          <w:rFonts w:asciiTheme="minorHAnsi" w:hAnsiTheme="minorHAnsi" w:cstheme="minorHAnsi"/>
          <w:i/>
          <w:iCs/>
          <w:sz w:val="22"/>
          <w:szCs w:val="22"/>
        </w:rPr>
        <w:t>d</w:t>
      </w:r>
      <w:r w:rsidRPr="00012EDA">
        <w:rPr>
          <w:rFonts w:asciiTheme="minorHAnsi" w:hAnsiTheme="minorHAnsi" w:cstheme="minorHAnsi"/>
          <w:i/>
          <w:iCs/>
          <w:sz w:val="22"/>
          <w:szCs w:val="22"/>
        </w:rPr>
        <w:t>isplays.  The solution could be embedded into several relevant standards and regulations that are currently scheduled to be updated including:</w:t>
      </w:r>
    </w:p>
    <w:p w14:paraId="3FA185D4" w14:textId="77777777" w:rsidR="00012EDA" w:rsidRPr="00012EDA" w:rsidRDefault="00012EDA" w:rsidP="00012EDA">
      <w:pPr>
        <w:ind w:left="720"/>
        <w:rPr>
          <w:rFonts w:asciiTheme="minorHAnsi" w:hAnsiTheme="minorHAnsi" w:cstheme="minorHAnsi"/>
          <w:i/>
          <w:iCs/>
          <w:sz w:val="22"/>
          <w:szCs w:val="22"/>
        </w:rPr>
      </w:pPr>
    </w:p>
    <w:p w14:paraId="3297E4D7" w14:textId="77777777" w:rsidR="00012EDA" w:rsidRPr="00012EDA" w:rsidRDefault="00012EDA" w:rsidP="00012EDA">
      <w:pPr>
        <w:pStyle w:val="ListParagraph"/>
        <w:numPr>
          <w:ilvl w:val="0"/>
          <w:numId w:val="33"/>
        </w:numPr>
        <w:rPr>
          <w:rFonts w:asciiTheme="minorHAnsi" w:hAnsiTheme="minorHAnsi" w:cstheme="minorHAnsi"/>
          <w:i/>
          <w:iCs/>
          <w:sz w:val="22"/>
          <w:szCs w:val="22"/>
        </w:rPr>
      </w:pPr>
      <w:r w:rsidRPr="00012EDA">
        <w:rPr>
          <w:rFonts w:asciiTheme="minorHAnsi" w:hAnsiTheme="minorHAnsi" w:cstheme="minorHAnsi"/>
          <w:i/>
          <w:iCs/>
          <w:sz w:val="22"/>
          <w:szCs w:val="22"/>
        </w:rPr>
        <w:t>National Electronic Manufacturers Association (NEMA), TS 4 Dynamic Message Sign standard</w:t>
      </w:r>
    </w:p>
    <w:p w14:paraId="0832E93F" w14:textId="6AE83212" w:rsidR="00012EDA" w:rsidRPr="00012EDA" w:rsidRDefault="00012EDA" w:rsidP="00012EDA">
      <w:pPr>
        <w:pStyle w:val="ListParagraph"/>
        <w:numPr>
          <w:ilvl w:val="0"/>
          <w:numId w:val="33"/>
        </w:numPr>
        <w:rPr>
          <w:rFonts w:asciiTheme="minorHAnsi" w:hAnsiTheme="minorHAnsi" w:cstheme="minorHAnsi"/>
          <w:i/>
          <w:iCs/>
          <w:sz w:val="22"/>
          <w:szCs w:val="22"/>
        </w:rPr>
      </w:pPr>
      <w:r w:rsidRPr="00012EDA">
        <w:rPr>
          <w:rFonts w:asciiTheme="minorHAnsi" w:hAnsiTheme="minorHAnsi" w:cstheme="minorHAnsi"/>
          <w:i/>
          <w:iCs/>
          <w:sz w:val="22"/>
          <w:szCs w:val="22"/>
        </w:rPr>
        <w:t>American Association of State Highway Transportation Officials (AASHTO) A Policy on Geometric Design of Highways and Streets (Greenbook), and</w:t>
      </w:r>
    </w:p>
    <w:p w14:paraId="242AC0E6" w14:textId="0B8079D7" w:rsidR="00012EDA" w:rsidRPr="00012EDA" w:rsidRDefault="00012EDA" w:rsidP="00012EDA">
      <w:pPr>
        <w:pStyle w:val="ListParagraph"/>
        <w:numPr>
          <w:ilvl w:val="0"/>
          <w:numId w:val="33"/>
        </w:numPr>
        <w:rPr>
          <w:rFonts w:asciiTheme="minorHAnsi" w:hAnsiTheme="minorHAnsi" w:cstheme="minorHAnsi"/>
          <w:i/>
          <w:iCs/>
          <w:sz w:val="22"/>
          <w:szCs w:val="22"/>
        </w:rPr>
      </w:pPr>
      <w:r w:rsidRPr="00012EDA">
        <w:rPr>
          <w:rFonts w:asciiTheme="minorHAnsi" w:hAnsiTheme="minorHAnsi" w:cstheme="minorHAnsi"/>
          <w:i/>
          <w:iCs/>
          <w:sz w:val="22"/>
          <w:szCs w:val="22"/>
        </w:rPr>
        <w:lastRenderedPageBreak/>
        <w:t>United Stated Department of Transportation (USDOT) Federal Highway Administration (FHWA) Manual on Uniform Traffic Control Devices (MUTCD)</w:t>
      </w:r>
    </w:p>
    <w:p w14:paraId="1736F513" w14:textId="77777777" w:rsidR="00012EDA" w:rsidRPr="00012EDA" w:rsidRDefault="00012EDA" w:rsidP="00012EDA">
      <w:pPr>
        <w:ind w:left="720"/>
        <w:rPr>
          <w:rFonts w:asciiTheme="minorHAnsi" w:hAnsiTheme="minorHAnsi" w:cstheme="minorHAnsi"/>
          <w:i/>
          <w:iCs/>
          <w:sz w:val="22"/>
          <w:szCs w:val="22"/>
        </w:rPr>
      </w:pPr>
    </w:p>
    <w:p w14:paraId="03680DEE" w14:textId="4E6D62D5" w:rsidR="00012EDA" w:rsidRPr="00012EDA" w:rsidRDefault="00012EDA">
      <w:pPr>
        <w:ind w:left="720"/>
        <w:rPr>
          <w:rFonts w:asciiTheme="minorHAnsi" w:hAnsiTheme="minorHAnsi" w:cstheme="minorHAnsi"/>
          <w:i/>
          <w:iCs/>
          <w:sz w:val="22"/>
          <w:szCs w:val="22"/>
        </w:rPr>
      </w:pPr>
      <w:r w:rsidRPr="00012EDA">
        <w:rPr>
          <w:rFonts w:asciiTheme="minorHAnsi" w:hAnsiTheme="minorHAnsi" w:cstheme="minorHAnsi"/>
          <w:i/>
          <w:iCs/>
          <w:sz w:val="22"/>
          <w:szCs w:val="22"/>
        </w:rPr>
        <w:t xml:space="preserve">This research effort is needed </w:t>
      </w:r>
      <w:r w:rsidR="00553B3D">
        <w:rPr>
          <w:rFonts w:asciiTheme="minorHAnsi" w:hAnsiTheme="minorHAnsi" w:cstheme="minorHAnsi"/>
          <w:i/>
          <w:iCs/>
          <w:sz w:val="22"/>
          <w:szCs w:val="22"/>
        </w:rPr>
        <w:t>immediately</w:t>
      </w:r>
      <w:r w:rsidR="00553B3D" w:rsidRPr="00012EDA">
        <w:rPr>
          <w:rFonts w:asciiTheme="minorHAnsi" w:hAnsiTheme="minorHAnsi" w:cstheme="minorHAnsi"/>
          <w:i/>
          <w:iCs/>
          <w:sz w:val="22"/>
          <w:szCs w:val="22"/>
        </w:rPr>
        <w:t xml:space="preserve"> </w:t>
      </w:r>
      <w:r w:rsidRPr="00012EDA">
        <w:rPr>
          <w:rFonts w:asciiTheme="minorHAnsi" w:hAnsiTheme="minorHAnsi" w:cstheme="minorHAnsi"/>
          <w:i/>
          <w:iCs/>
          <w:sz w:val="22"/>
          <w:szCs w:val="22"/>
        </w:rPr>
        <w:t>to support the scheduled standard updates.  Waiting ten</w:t>
      </w:r>
      <w:r w:rsidR="00BD5346">
        <w:rPr>
          <w:rFonts w:asciiTheme="minorHAnsi" w:hAnsiTheme="minorHAnsi" w:cstheme="minorHAnsi"/>
          <w:i/>
          <w:iCs/>
          <w:sz w:val="22"/>
          <w:szCs w:val="22"/>
        </w:rPr>
        <w:t xml:space="preserve"> </w:t>
      </w:r>
      <w:r w:rsidRPr="00012EDA">
        <w:rPr>
          <w:rFonts w:asciiTheme="minorHAnsi" w:hAnsiTheme="minorHAnsi" w:cstheme="minorHAnsi"/>
          <w:i/>
          <w:iCs/>
          <w:sz w:val="22"/>
          <w:szCs w:val="22"/>
        </w:rPr>
        <w:t xml:space="preserve">years for the next update cycle to begin would </w:t>
      </w:r>
      <w:r w:rsidR="00BD5346">
        <w:rPr>
          <w:rFonts w:asciiTheme="minorHAnsi" w:hAnsiTheme="minorHAnsi" w:cstheme="minorHAnsi"/>
          <w:i/>
          <w:iCs/>
          <w:sz w:val="22"/>
          <w:szCs w:val="22"/>
        </w:rPr>
        <w:t>negatively impact the</w:t>
      </w:r>
      <w:r w:rsidRPr="00012EDA">
        <w:rPr>
          <w:rFonts w:asciiTheme="minorHAnsi" w:hAnsiTheme="minorHAnsi" w:cstheme="minorHAnsi"/>
          <w:i/>
          <w:iCs/>
          <w:sz w:val="22"/>
          <w:szCs w:val="22"/>
        </w:rPr>
        <w:t xml:space="preserve"> safe deployment of </w:t>
      </w:r>
      <w:r w:rsidR="00276D29">
        <w:rPr>
          <w:rFonts w:asciiTheme="minorHAnsi" w:hAnsiTheme="minorHAnsi" w:cstheme="minorHAnsi"/>
          <w:i/>
          <w:iCs/>
          <w:sz w:val="22"/>
          <w:szCs w:val="22"/>
        </w:rPr>
        <w:t xml:space="preserve">TCDs compatible with </w:t>
      </w:r>
      <w:r w:rsidRPr="00012EDA">
        <w:rPr>
          <w:rFonts w:asciiTheme="minorHAnsi" w:hAnsiTheme="minorHAnsi" w:cstheme="minorHAnsi"/>
          <w:i/>
          <w:iCs/>
          <w:sz w:val="22"/>
          <w:szCs w:val="22"/>
        </w:rPr>
        <w:t>automated vehicles within the normal equipment replacement cycle.</w:t>
      </w:r>
    </w:p>
    <w:p w14:paraId="29278056" w14:textId="77777777" w:rsidR="00012EDA" w:rsidRPr="005459DB" w:rsidRDefault="00012EDA" w:rsidP="00232C72">
      <w:pPr>
        <w:suppressAutoHyphens/>
        <w:contextualSpacing/>
        <w:rPr>
          <w:rFonts w:ascii="Calibri" w:hAnsi="Calibri"/>
          <w:spacing w:val="-2"/>
          <w:szCs w:val="24"/>
        </w:rPr>
      </w:pPr>
    </w:p>
    <w:p w14:paraId="66575B0A" w14:textId="77777777" w:rsidR="001D2D57" w:rsidRPr="005459DB" w:rsidRDefault="00046483" w:rsidP="00232C72">
      <w:pPr>
        <w:suppressAutoHyphens/>
        <w:contextualSpacing/>
        <w:rPr>
          <w:rFonts w:ascii="Calibri" w:hAnsi="Calibri"/>
          <w:b/>
          <w:spacing w:val="-2"/>
          <w:szCs w:val="24"/>
        </w:rPr>
      </w:pPr>
      <w:r w:rsidRPr="005459DB">
        <w:rPr>
          <w:rFonts w:ascii="Calibri" w:hAnsi="Calibri"/>
          <w:b/>
          <w:spacing w:val="-2"/>
          <w:szCs w:val="24"/>
        </w:rPr>
        <w:t>3</w:t>
      </w:r>
      <w:r w:rsidR="00604428" w:rsidRPr="005459DB">
        <w:rPr>
          <w:rFonts w:ascii="Calibri" w:hAnsi="Calibri"/>
          <w:b/>
          <w:spacing w:val="-2"/>
          <w:szCs w:val="24"/>
        </w:rPr>
        <w:t>.</w:t>
      </w:r>
      <w:r w:rsidR="00604428" w:rsidRPr="005459DB">
        <w:rPr>
          <w:rFonts w:ascii="Calibri" w:hAnsi="Calibri"/>
          <w:b/>
          <w:spacing w:val="-2"/>
          <w:szCs w:val="24"/>
        </w:rPr>
        <w:tab/>
      </w:r>
      <w:r w:rsidR="00540BDC" w:rsidRPr="005459DB">
        <w:rPr>
          <w:rFonts w:ascii="Calibri" w:hAnsi="Calibri"/>
          <w:b/>
          <w:spacing w:val="-2"/>
          <w:szCs w:val="24"/>
        </w:rPr>
        <w:t>Literature Search Summary</w:t>
      </w:r>
    </w:p>
    <w:p w14:paraId="33EACBEA" w14:textId="77777777" w:rsidR="007C4C57" w:rsidRPr="00672638" w:rsidRDefault="007C4C57" w:rsidP="007C4C57">
      <w:pPr>
        <w:tabs>
          <w:tab w:val="left" w:pos="1080"/>
        </w:tabs>
        <w:ind w:left="720"/>
        <w:rPr>
          <w:rFonts w:asciiTheme="minorHAnsi" w:hAnsiTheme="minorHAnsi" w:cstheme="minorHAnsi"/>
          <w:i/>
          <w:iCs/>
          <w:szCs w:val="24"/>
        </w:rPr>
      </w:pPr>
      <w:r w:rsidRPr="00672638">
        <w:rPr>
          <w:rFonts w:asciiTheme="minorHAnsi" w:hAnsiTheme="minorHAnsi" w:cstheme="minorHAnsi"/>
          <w:i/>
          <w:iCs/>
          <w:szCs w:val="24"/>
        </w:rPr>
        <w:t>TRID Search terms:  “Machine Vision” and “LED</w:t>
      </w:r>
      <w:proofErr w:type="gramStart"/>
      <w:r w:rsidRPr="00672638">
        <w:rPr>
          <w:rFonts w:asciiTheme="minorHAnsi" w:hAnsiTheme="minorHAnsi" w:cstheme="minorHAnsi"/>
          <w:i/>
          <w:iCs/>
          <w:szCs w:val="24"/>
        </w:rPr>
        <w:t>” ,</w:t>
      </w:r>
      <w:proofErr w:type="gramEnd"/>
      <w:r w:rsidRPr="00672638">
        <w:rPr>
          <w:rFonts w:asciiTheme="minorHAnsi" w:hAnsiTheme="minorHAnsi" w:cstheme="minorHAnsi"/>
          <w:i/>
          <w:iCs/>
          <w:szCs w:val="24"/>
        </w:rPr>
        <w:t xml:space="preserve"> “LED Flicker” and “ADS Machine Vision” produced no recent and directly relevant projects.  The existing body of research does not address the relationship between the image creation (LED</w:t>
      </w:r>
      <w:proofErr w:type="gramStart"/>
      <w:r w:rsidRPr="00672638">
        <w:rPr>
          <w:rFonts w:asciiTheme="minorHAnsi" w:hAnsiTheme="minorHAnsi" w:cstheme="minorHAnsi"/>
          <w:i/>
          <w:iCs/>
          <w:szCs w:val="24"/>
        </w:rPr>
        <w:t>)</w:t>
      </w:r>
      <w:proofErr w:type="gramEnd"/>
      <w:r w:rsidRPr="00672638">
        <w:rPr>
          <w:rFonts w:asciiTheme="minorHAnsi" w:hAnsiTheme="minorHAnsi" w:cstheme="minorHAnsi"/>
          <w:i/>
          <w:iCs/>
          <w:szCs w:val="24"/>
        </w:rPr>
        <w:t xml:space="preserve"> and the image capture and processing needed for automated vehicles to respond appropriately to LED traffic control device displays.</w:t>
      </w:r>
    </w:p>
    <w:p w14:paraId="51645831" w14:textId="77777777" w:rsidR="00354613" w:rsidRPr="005459DB" w:rsidRDefault="00354613" w:rsidP="00232C72">
      <w:pPr>
        <w:suppressAutoHyphens/>
        <w:contextualSpacing/>
        <w:rPr>
          <w:rFonts w:ascii="Calibri" w:hAnsi="Calibri"/>
          <w:spacing w:val="-2"/>
          <w:szCs w:val="24"/>
        </w:rPr>
      </w:pPr>
    </w:p>
    <w:p w14:paraId="11983EEC" w14:textId="77777777" w:rsidR="00354613" w:rsidRPr="005459DB" w:rsidRDefault="00E54962" w:rsidP="00232C72">
      <w:pPr>
        <w:suppressAutoHyphens/>
        <w:contextualSpacing/>
        <w:rPr>
          <w:rFonts w:ascii="Calibri" w:hAnsi="Calibri"/>
          <w:b/>
          <w:spacing w:val="-2"/>
          <w:szCs w:val="24"/>
        </w:rPr>
      </w:pPr>
      <w:r w:rsidRPr="005459DB">
        <w:rPr>
          <w:rFonts w:ascii="Calibri" w:hAnsi="Calibri"/>
          <w:b/>
          <w:spacing w:val="-2"/>
          <w:szCs w:val="24"/>
        </w:rPr>
        <w:t>4</w:t>
      </w:r>
      <w:r w:rsidR="00354613" w:rsidRPr="005459DB">
        <w:rPr>
          <w:rFonts w:ascii="Calibri" w:hAnsi="Calibri"/>
          <w:b/>
          <w:spacing w:val="-2"/>
          <w:szCs w:val="24"/>
        </w:rPr>
        <w:t>.</w:t>
      </w:r>
      <w:r w:rsidR="00354613" w:rsidRPr="005459DB">
        <w:rPr>
          <w:rFonts w:ascii="Calibri" w:hAnsi="Calibri"/>
          <w:b/>
          <w:spacing w:val="-2"/>
          <w:szCs w:val="24"/>
        </w:rPr>
        <w:tab/>
      </w:r>
      <w:r w:rsidR="00540BDC" w:rsidRPr="005459DB">
        <w:rPr>
          <w:rFonts w:ascii="Calibri" w:hAnsi="Calibri"/>
          <w:b/>
          <w:spacing w:val="-2"/>
          <w:szCs w:val="24"/>
        </w:rPr>
        <w:t>Research Objective</w:t>
      </w:r>
      <w:r w:rsidR="001A2476" w:rsidRPr="005459DB">
        <w:rPr>
          <w:rFonts w:ascii="Calibri" w:hAnsi="Calibri"/>
          <w:b/>
          <w:spacing w:val="-2"/>
          <w:szCs w:val="24"/>
        </w:rPr>
        <w:t xml:space="preserve"> </w:t>
      </w:r>
    </w:p>
    <w:p w14:paraId="27F8C5F1" w14:textId="03A604A6" w:rsidR="00FF1FEF" w:rsidRPr="00FF1FEF" w:rsidRDefault="00FF1FEF" w:rsidP="00FF1FEF">
      <w:pPr>
        <w:ind w:left="720"/>
        <w:rPr>
          <w:rFonts w:asciiTheme="minorHAnsi" w:hAnsiTheme="minorHAnsi" w:cstheme="minorHAnsi"/>
          <w:i/>
          <w:iCs/>
          <w:sz w:val="22"/>
          <w:szCs w:val="22"/>
        </w:rPr>
      </w:pPr>
      <w:r w:rsidRPr="00FF1FEF">
        <w:rPr>
          <w:rFonts w:asciiTheme="minorHAnsi" w:hAnsiTheme="minorHAnsi" w:cstheme="minorHAnsi"/>
          <w:i/>
          <w:iCs/>
          <w:sz w:val="22"/>
          <w:szCs w:val="22"/>
        </w:rPr>
        <w:t>The objective of this research is to initiate cooperative and collaborative work between the automotive industry, traffic control device industry and infrastructure owner-operators in a partnership to improve the potential for TCD LED display detection and comprehension via the ADS machine vision (camera or other sensor) interfaces, facilitate information processing by the ADS and support the safe deployment of ADS on the nation’s transportation network.  The major tasks or activities of the work should include:</w:t>
      </w:r>
    </w:p>
    <w:p w14:paraId="0DCE7DD4" w14:textId="77777777" w:rsidR="00FF1FEF" w:rsidRPr="00FF1FEF" w:rsidRDefault="00FF1FEF" w:rsidP="00FF1FEF">
      <w:pPr>
        <w:ind w:left="720"/>
        <w:rPr>
          <w:rFonts w:asciiTheme="minorHAnsi" w:hAnsiTheme="minorHAnsi" w:cstheme="minorHAnsi"/>
          <w:i/>
          <w:iCs/>
          <w:sz w:val="22"/>
          <w:szCs w:val="22"/>
        </w:rPr>
      </w:pPr>
    </w:p>
    <w:p w14:paraId="45BDE83C" w14:textId="77777777" w:rsidR="00FF1FEF" w:rsidRPr="00FF1FEF" w:rsidRDefault="00FF1FEF" w:rsidP="00FF1FEF">
      <w:pPr>
        <w:ind w:left="720"/>
        <w:rPr>
          <w:rFonts w:asciiTheme="minorHAnsi" w:hAnsiTheme="minorHAnsi" w:cstheme="minorHAnsi"/>
          <w:i/>
          <w:iCs/>
          <w:sz w:val="22"/>
          <w:szCs w:val="22"/>
        </w:rPr>
      </w:pPr>
      <w:r w:rsidRPr="00FF1FEF">
        <w:rPr>
          <w:rFonts w:asciiTheme="minorHAnsi" w:hAnsiTheme="minorHAnsi" w:cstheme="minorHAnsi"/>
          <w:i/>
          <w:iCs/>
          <w:sz w:val="22"/>
          <w:szCs w:val="22"/>
        </w:rPr>
        <w:t>Phase I:</w:t>
      </w:r>
    </w:p>
    <w:p w14:paraId="218324CF" w14:textId="30B528B3" w:rsidR="00FF1FEF" w:rsidRPr="00FF1FEF" w:rsidRDefault="00FF1FEF" w:rsidP="00FF1FEF">
      <w:pPr>
        <w:numPr>
          <w:ilvl w:val="0"/>
          <w:numId w:val="36"/>
        </w:numPr>
        <w:ind w:left="1496"/>
        <w:rPr>
          <w:rFonts w:asciiTheme="minorHAnsi" w:hAnsiTheme="minorHAnsi" w:cstheme="minorHAnsi"/>
          <w:i/>
          <w:iCs/>
          <w:sz w:val="22"/>
          <w:szCs w:val="22"/>
        </w:rPr>
      </w:pPr>
      <w:r w:rsidRPr="00FF1FEF">
        <w:rPr>
          <w:rFonts w:asciiTheme="minorHAnsi" w:hAnsiTheme="minorHAnsi" w:cstheme="minorHAnsi"/>
          <w:i/>
          <w:iCs/>
          <w:sz w:val="22"/>
          <w:szCs w:val="22"/>
        </w:rPr>
        <w:t>Identification of all known relevant material, equipment and process constraints of automated vehicle sensors and LED based automotive and traffic control device equipment including a global assessment of automotive and electronic equipment state of the practice.</w:t>
      </w:r>
    </w:p>
    <w:p w14:paraId="3F27D8F7" w14:textId="77777777" w:rsidR="00FF1FEF" w:rsidRPr="00FF1FEF" w:rsidRDefault="00FF1FEF" w:rsidP="00FF1FEF">
      <w:pPr>
        <w:numPr>
          <w:ilvl w:val="0"/>
          <w:numId w:val="36"/>
        </w:numPr>
        <w:ind w:left="1496"/>
        <w:rPr>
          <w:rFonts w:asciiTheme="minorHAnsi" w:hAnsiTheme="minorHAnsi" w:cstheme="minorHAnsi"/>
          <w:i/>
          <w:iCs/>
          <w:sz w:val="22"/>
          <w:szCs w:val="22"/>
        </w:rPr>
      </w:pPr>
      <w:r w:rsidRPr="00FF1FEF">
        <w:rPr>
          <w:rFonts w:asciiTheme="minorHAnsi" w:hAnsiTheme="minorHAnsi" w:cstheme="minorHAnsi"/>
          <w:i/>
          <w:iCs/>
          <w:sz w:val="22"/>
          <w:szCs w:val="22"/>
        </w:rPr>
        <w:t xml:space="preserve"> Identification of motion blur, sensor sampling speed (camera shutter speed or similar), vehicle speed, and ADS data processing function interdependencies.</w:t>
      </w:r>
    </w:p>
    <w:p w14:paraId="76BB454F" w14:textId="77777777" w:rsidR="00FF1FEF" w:rsidRPr="00FF1FEF" w:rsidRDefault="00FF1FEF" w:rsidP="00FF1FEF">
      <w:pPr>
        <w:numPr>
          <w:ilvl w:val="0"/>
          <w:numId w:val="36"/>
        </w:numPr>
        <w:ind w:left="1496"/>
        <w:rPr>
          <w:rFonts w:asciiTheme="minorHAnsi" w:hAnsiTheme="minorHAnsi" w:cstheme="minorHAnsi"/>
          <w:i/>
          <w:iCs/>
          <w:sz w:val="22"/>
          <w:szCs w:val="22"/>
        </w:rPr>
      </w:pPr>
      <w:r w:rsidRPr="00FF1FEF">
        <w:rPr>
          <w:rFonts w:asciiTheme="minorHAnsi" w:hAnsiTheme="minorHAnsi" w:cstheme="minorHAnsi"/>
          <w:i/>
          <w:iCs/>
          <w:sz w:val="22"/>
          <w:szCs w:val="22"/>
        </w:rPr>
        <w:t>Identification of all related and affected standards such as NEMA TS 4 and TS 10 or Institute of Transportation Engineers (ITE) signal specifications.</w:t>
      </w:r>
    </w:p>
    <w:p w14:paraId="095ECFC7" w14:textId="77777777" w:rsidR="00FF1FEF" w:rsidRPr="00FF1FEF" w:rsidRDefault="00FF1FEF" w:rsidP="00FF1FEF">
      <w:pPr>
        <w:numPr>
          <w:ilvl w:val="0"/>
          <w:numId w:val="36"/>
        </w:numPr>
        <w:ind w:left="1496"/>
        <w:rPr>
          <w:rFonts w:asciiTheme="minorHAnsi" w:hAnsiTheme="minorHAnsi" w:cstheme="minorHAnsi"/>
          <w:i/>
          <w:iCs/>
          <w:sz w:val="22"/>
          <w:szCs w:val="22"/>
        </w:rPr>
      </w:pPr>
      <w:r w:rsidRPr="00FF1FEF">
        <w:rPr>
          <w:rFonts w:asciiTheme="minorHAnsi" w:hAnsiTheme="minorHAnsi" w:cstheme="minorHAnsi"/>
          <w:i/>
          <w:iCs/>
          <w:sz w:val="22"/>
          <w:szCs w:val="22"/>
        </w:rPr>
        <w:t>Identification of all components that must be modified or considered when attempting to resolve the sensor and LED equipment pairing such as LED refresh rate, sensor sampling speed, and data processing.</w:t>
      </w:r>
    </w:p>
    <w:p w14:paraId="1555C450" w14:textId="77777777" w:rsidR="00FF1FEF" w:rsidRPr="00FF1FEF" w:rsidRDefault="00FF1FEF" w:rsidP="00FF1FEF">
      <w:pPr>
        <w:numPr>
          <w:ilvl w:val="0"/>
          <w:numId w:val="36"/>
        </w:numPr>
        <w:ind w:left="1496"/>
        <w:rPr>
          <w:rFonts w:asciiTheme="minorHAnsi" w:hAnsiTheme="minorHAnsi" w:cstheme="minorHAnsi"/>
          <w:i/>
          <w:iCs/>
          <w:sz w:val="22"/>
          <w:szCs w:val="22"/>
        </w:rPr>
      </w:pPr>
      <w:r w:rsidRPr="00FF1FEF">
        <w:rPr>
          <w:rFonts w:asciiTheme="minorHAnsi" w:hAnsiTheme="minorHAnsi" w:cstheme="minorHAnsi"/>
          <w:i/>
          <w:iCs/>
          <w:sz w:val="22"/>
          <w:szCs w:val="22"/>
        </w:rPr>
        <w:t>Development of a work plan to identify economical and feasible equipment standards proposals that address the ADS sensor and LED equipment pairing issue.</w:t>
      </w:r>
    </w:p>
    <w:p w14:paraId="1658DB53" w14:textId="77777777" w:rsidR="00FF1FEF" w:rsidRPr="00FF1FEF" w:rsidRDefault="00FF1FEF" w:rsidP="00FF1FEF">
      <w:pPr>
        <w:numPr>
          <w:ilvl w:val="0"/>
          <w:numId w:val="36"/>
        </w:numPr>
        <w:ind w:left="1496"/>
        <w:rPr>
          <w:rFonts w:asciiTheme="minorHAnsi" w:hAnsiTheme="minorHAnsi" w:cstheme="minorHAnsi"/>
          <w:i/>
          <w:iCs/>
          <w:sz w:val="22"/>
          <w:szCs w:val="22"/>
        </w:rPr>
      </w:pPr>
      <w:r w:rsidRPr="00FF1FEF">
        <w:rPr>
          <w:rFonts w:asciiTheme="minorHAnsi" w:hAnsiTheme="minorHAnsi" w:cstheme="minorHAnsi"/>
          <w:i/>
          <w:iCs/>
          <w:sz w:val="22"/>
          <w:szCs w:val="22"/>
        </w:rPr>
        <w:t>Include in the work plan, an outreach effort to coalesce the various industries around the proposed standards and facilitate the ability of ADS sensors to detect and read LED TCD and automotive displays.</w:t>
      </w:r>
    </w:p>
    <w:p w14:paraId="69E2C3B6" w14:textId="77777777" w:rsidR="00FF1FEF" w:rsidRPr="00FF1FEF" w:rsidRDefault="00FF1FEF" w:rsidP="00FF1FEF">
      <w:pPr>
        <w:ind w:left="720"/>
        <w:rPr>
          <w:rFonts w:asciiTheme="minorHAnsi" w:hAnsiTheme="minorHAnsi" w:cstheme="minorHAnsi"/>
          <w:i/>
          <w:iCs/>
          <w:sz w:val="22"/>
          <w:szCs w:val="22"/>
        </w:rPr>
      </w:pPr>
    </w:p>
    <w:p w14:paraId="3B7AFEAD" w14:textId="77777777" w:rsidR="00FF1FEF" w:rsidRPr="00FF1FEF" w:rsidRDefault="00FF1FEF" w:rsidP="00FF1FEF">
      <w:pPr>
        <w:ind w:left="720"/>
        <w:rPr>
          <w:rFonts w:asciiTheme="minorHAnsi" w:hAnsiTheme="minorHAnsi" w:cstheme="minorHAnsi"/>
          <w:i/>
          <w:iCs/>
          <w:sz w:val="22"/>
          <w:szCs w:val="22"/>
        </w:rPr>
      </w:pPr>
      <w:r w:rsidRPr="00FF1FEF">
        <w:rPr>
          <w:rFonts w:asciiTheme="minorHAnsi" w:hAnsiTheme="minorHAnsi" w:cstheme="minorHAnsi"/>
          <w:i/>
          <w:iCs/>
          <w:sz w:val="22"/>
          <w:szCs w:val="22"/>
        </w:rPr>
        <w:t>Phase II:</w:t>
      </w:r>
    </w:p>
    <w:p w14:paraId="7888F95A" w14:textId="77777777" w:rsidR="00FF1FEF" w:rsidRPr="00FF1FEF" w:rsidRDefault="00FF1FEF" w:rsidP="00FF1FEF">
      <w:pPr>
        <w:numPr>
          <w:ilvl w:val="0"/>
          <w:numId w:val="37"/>
        </w:numPr>
        <w:ind w:left="1440"/>
        <w:rPr>
          <w:rFonts w:asciiTheme="minorHAnsi" w:hAnsiTheme="minorHAnsi" w:cstheme="minorHAnsi"/>
          <w:i/>
          <w:iCs/>
          <w:sz w:val="22"/>
          <w:szCs w:val="22"/>
        </w:rPr>
      </w:pPr>
      <w:r w:rsidRPr="00FF1FEF">
        <w:rPr>
          <w:rFonts w:asciiTheme="minorHAnsi" w:hAnsiTheme="minorHAnsi" w:cstheme="minorHAnsi"/>
          <w:i/>
          <w:iCs/>
          <w:sz w:val="22"/>
          <w:szCs w:val="22"/>
        </w:rPr>
        <w:t>Execution of the work plan</w:t>
      </w:r>
    </w:p>
    <w:p w14:paraId="39D2EEFA" w14:textId="77777777" w:rsidR="00FF1FEF" w:rsidRPr="00FF1FEF" w:rsidRDefault="00FF1FEF" w:rsidP="00FF1FEF">
      <w:pPr>
        <w:numPr>
          <w:ilvl w:val="1"/>
          <w:numId w:val="37"/>
        </w:numPr>
        <w:ind w:left="2160"/>
        <w:rPr>
          <w:rFonts w:asciiTheme="minorHAnsi" w:hAnsiTheme="minorHAnsi" w:cstheme="minorHAnsi"/>
          <w:i/>
          <w:iCs/>
          <w:sz w:val="22"/>
          <w:szCs w:val="22"/>
        </w:rPr>
      </w:pPr>
      <w:r w:rsidRPr="00FF1FEF">
        <w:rPr>
          <w:rFonts w:asciiTheme="minorHAnsi" w:hAnsiTheme="minorHAnsi" w:cstheme="minorHAnsi"/>
          <w:i/>
          <w:iCs/>
          <w:sz w:val="22"/>
          <w:szCs w:val="22"/>
        </w:rPr>
        <w:t>Establish sensor sampling speed range acceptable from a motion blur and image capture perspective (e.g., Nyquist frequency).</w:t>
      </w:r>
    </w:p>
    <w:p w14:paraId="6C26BB45" w14:textId="77777777" w:rsidR="00FF1FEF" w:rsidRPr="00FF1FEF" w:rsidRDefault="00FF1FEF" w:rsidP="00FF1FEF">
      <w:pPr>
        <w:numPr>
          <w:ilvl w:val="1"/>
          <w:numId w:val="37"/>
        </w:numPr>
        <w:ind w:left="2160"/>
        <w:rPr>
          <w:rFonts w:asciiTheme="minorHAnsi" w:hAnsiTheme="minorHAnsi" w:cstheme="minorHAnsi"/>
          <w:i/>
          <w:iCs/>
          <w:sz w:val="22"/>
          <w:szCs w:val="22"/>
        </w:rPr>
      </w:pPr>
      <w:r w:rsidRPr="00FF1FEF">
        <w:rPr>
          <w:rFonts w:asciiTheme="minorHAnsi" w:hAnsiTheme="minorHAnsi" w:cstheme="minorHAnsi"/>
          <w:i/>
          <w:iCs/>
          <w:sz w:val="22"/>
          <w:szCs w:val="22"/>
        </w:rPr>
        <w:t>Establish LED pulse width modulation (PWM) cycle range that will ensure multiple cycle completions during the sensor sampling range.</w:t>
      </w:r>
    </w:p>
    <w:p w14:paraId="24EB26BA" w14:textId="77777777" w:rsidR="00FF1FEF" w:rsidRPr="00FF1FEF" w:rsidRDefault="00FF1FEF" w:rsidP="00FF1FEF">
      <w:pPr>
        <w:numPr>
          <w:ilvl w:val="1"/>
          <w:numId w:val="37"/>
        </w:numPr>
        <w:ind w:left="2160"/>
        <w:rPr>
          <w:rFonts w:asciiTheme="minorHAnsi" w:hAnsiTheme="minorHAnsi" w:cstheme="minorHAnsi"/>
          <w:i/>
          <w:iCs/>
          <w:sz w:val="22"/>
          <w:szCs w:val="22"/>
        </w:rPr>
      </w:pPr>
      <w:r w:rsidRPr="00FF1FEF">
        <w:rPr>
          <w:rFonts w:asciiTheme="minorHAnsi" w:hAnsiTheme="minorHAnsi" w:cstheme="minorHAnsi"/>
          <w:i/>
          <w:iCs/>
          <w:sz w:val="22"/>
          <w:szCs w:val="22"/>
        </w:rPr>
        <w:t>If all LED TCD and automotive devices can be operated within the PWM cycle range, then information to be shared with industry standards groups else begin exploration of alternative solution methods such as:</w:t>
      </w:r>
    </w:p>
    <w:p w14:paraId="6C396D55" w14:textId="77777777" w:rsidR="00FF1FEF" w:rsidRPr="00FF1FEF" w:rsidRDefault="00FF1FEF" w:rsidP="00FF1FEF">
      <w:pPr>
        <w:numPr>
          <w:ilvl w:val="2"/>
          <w:numId w:val="37"/>
        </w:numPr>
        <w:ind w:left="2880"/>
        <w:rPr>
          <w:rFonts w:asciiTheme="minorHAnsi" w:hAnsiTheme="minorHAnsi" w:cstheme="minorHAnsi"/>
          <w:i/>
          <w:iCs/>
          <w:sz w:val="22"/>
          <w:szCs w:val="22"/>
        </w:rPr>
      </w:pPr>
      <w:r w:rsidRPr="00FF1FEF">
        <w:rPr>
          <w:rFonts w:asciiTheme="minorHAnsi" w:hAnsiTheme="minorHAnsi" w:cstheme="minorHAnsi"/>
          <w:i/>
          <w:iCs/>
          <w:sz w:val="22"/>
          <w:szCs w:val="22"/>
        </w:rPr>
        <w:t>multiple image integration.</w:t>
      </w:r>
    </w:p>
    <w:p w14:paraId="722445D2" w14:textId="77777777" w:rsidR="00FF1FEF" w:rsidRPr="00FF1FEF" w:rsidRDefault="00FF1FEF" w:rsidP="00FF1FEF">
      <w:pPr>
        <w:numPr>
          <w:ilvl w:val="2"/>
          <w:numId w:val="37"/>
        </w:numPr>
        <w:ind w:left="2880"/>
        <w:rPr>
          <w:rFonts w:asciiTheme="minorHAnsi" w:hAnsiTheme="minorHAnsi" w:cstheme="minorHAnsi"/>
          <w:i/>
          <w:iCs/>
          <w:sz w:val="22"/>
          <w:szCs w:val="22"/>
        </w:rPr>
      </w:pPr>
      <w:r w:rsidRPr="00FF1FEF">
        <w:rPr>
          <w:rFonts w:asciiTheme="minorHAnsi" w:hAnsiTheme="minorHAnsi" w:cstheme="minorHAnsi"/>
          <w:i/>
          <w:iCs/>
          <w:sz w:val="22"/>
          <w:szCs w:val="22"/>
        </w:rPr>
        <w:t>localized signal to indicate when LED image will be available for sensor read (established time to “on-state”)</w:t>
      </w:r>
    </w:p>
    <w:p w14:paraId="74977183" w14:textId="77777777" w:rsidR="00FF1FEF" w:rsidRPr="00FF1FEF" w:rsidRDefault="00FF1FEF" w:rsidP="00FF1FEF">
      <w:pPr>
        <w:numPr>
          <w:ilvl w:val="2"/>
          <w:numId w:val="37"/>
        </w:numPr>
        <w:ind w:left="2880"/>
        <w:rPr>
          <w:rFonts w:asciiTheme="minorHAnsi" w:hAnsiTheme="minorHAnsi" w:cstheme="minorHAnsi"/>
          <w:i/>
          <w:iCs/>
          <w:sz w:val="22"/>
          <w:szCs w:val="22"/>
        </w:rPr>
      </w:pPr>
      <w:r w:rsidRPr="00FF1FEF">
        <w:rPr>
          <w:rFonts w:asciiTheme="minorHAnsi" w:hAnsiTheme="minorHAnsi" w:cstheme="minorHAnsi"/>
          <w:i/>
          <w:iCs/>
          <w:sz w:val="22"/>
          <w:szCs w:val="22"/>
        </w:rPr>
        <w:t>other</w:t>
      </w:r>
      <w:proofErr w:type="gramStart"/>
      <w:r w:rsidRPr="00FF1FEF">
        <w:rPr>
          <w:rFonts w:asciiTheme="minorHAnsi" w:hAnsiTheme="minorHAnsi" w:cstheme="minorHAnsi"/>
          <w:i/>
          <w:iCs/>
          <w:sz w:val="22"/>
          <w:szCs w:val="22"/>
        </w:rPr>
        <w:t>…..</w:t>
      </w:r>
      <w:proofErr w:type="gramEnd"/>
      <w:r w:rsidRPr="00FF1FEF">
        <w:rPr>
          <w:rFonts w:asciiTheme="minorHAnsi" w:hAnsiTheme="minorHAnsi" w:cstheme="minorHAnsi"/>
          <w:i/>
          <w:iCs/>
          <w:sz w:val="22"/>
          <w:szCs w:val="22"/>
        </w:rPr>
        <w:t xml:space="preserve"> </w:t>
      </w:r>
    </w:p>
    <w:p w14:paraId="70EAA1E7" w14:textId="77777777" w:rsidR="00FF1FEF" w:rsidRPr="00FF1FEF" w:rsidRDefault="00FF1FEF" w:rsidP="00FF1FEF">
      <w:pPr>
        <w:numPr>
          <w:ilvl w:val="0"/>
          <w:numId w:val="37"/>
        </w:numPr>
        <w:ind w:left="1440"/>
        <w:rPr>
          <w:rFonts w:asciiTheme="minorHAnsi" w:hAnsiTheme="minorHAnsi" w:cstheme="minorHAnsi"/>
          <w:i/>
          <w:iCs/>
          <w:sz w:val="22"/>
          <w:szCs w:val="22"/>
        </w:rPr>
      </w:pPr>
      <w:r w:rsidRPr="00FF1FEF">
        <w:rPr>
          <w:rFonts w:asciiTheme="minorHAnsi" w:hAnsiTheme="minorHAnsi" w:cstheme="minorHAnsi"/>
          <w:i/>
          <w:iCs/>
          <w:sz w:val="22"/>
          <w:szCs w:val="22"/>
        </w:rPr>
        <w:t>Outreach plans to include:</w:t>
      </w:r>
    </w:p>
    <w:p w14:paraId="745209BC" w14:textId="77777777" w:rsidR="00FF1FEF" w:rsidRPr="00FF1FEF" w:rsidRDefault="00FF1FEF" w:rsidP="00FF1FEF">
      <w:pPr>
        <w:numPr>
          <w:ilvl w:val="1"/>
          <w:numId w:val="37"/>
        </w:numPr>
        <w:ind w:left="2160"/>
        <w:rPr>
          <w:rFonts w:asciiTheme="minorHAnsi" w:hAnsiTheme="minorHAnsi" w:cstheme="minorHAnsi"/>
          <w:i/>
          <w:iCs/>
          <w:sz w:val="22"/>
          <w:szCs w:val="22"/>
        </w:rPr>
      </w:pPr>
      <w:r w:rsidRPr="00FF1FEF">
        <w:rPr>
          <w:rFonts w:asciiTheme="minorHAnsi" w:hAnsiTheme="minorHAnsi" w:cstheme="minorHAnsi"/>
          <w:i/>
          <w:iCs/>
          <w:sz w:val="22"/>
          <w:szCs w:val="22"/>
        </w:rPr>
        <w:t>AASHTO, USDOT FHWA and State Department of Transportations</w:t>
      </w:r>
    </w:p>
    <w:p w14:paraId="0A4C6404" w14:textId="77777777" w:rsidR="00FF1FEF" w:rsidRPr="00FF1FEF" w:rsidRDefault="00FF1FEF" w:rsidP="00FF1FEF">
      <w:pPr>
        <w:numPr>
          <w:ilvl w:val="1"/>
          <w:numId w:val="37"/>
        </w:numPr>
        <w:ind w:left="2160"/>
        <w:rPr>
          <w:rFonts w:asciiTheme="minorHAnsi" w:hAnsiTheme="minorHAnsi" w:cstheme="minorHAnsi"/>
          <w:i/>
          <w:iCs/>
          <w:sz w:val="22"/>
          <w:szCs w:val="22"/>
        </w:rPr>
      </w:pPr>
      <w:r w:rsidRPr="00FF1FEF">
        <w:rPr>
          <w:rFonts w:asciiTheme="minorHAnsi" w:hAnsiTheme="minorHAnsi" w:cstheme="minorHAnsi"/>
          <w:i/>
          <w:iCs/>
          <w:sz w:val="22"/>
          <w:szCs w:val="22"/>
        </w:rPr>
        <w:lastRenderedPageBreak/>
        <w:t>National Committee on Uniform Traffic Control Devices (NCUTCD)</w:t>
      </w:r>
    </w:p>
    <w:p w14:paraId="2FA5A487" w14:textId="5C9BC894" w:rsidR="00FF1FEF" w:rsidRPr="00FF1FEF" w:rsidRDefault="003416F5" w:rsidP="00FF1FEF">
      <w:pPr>
        <w:numPr>
          <w:ilvl w:val="1"/>
          <w:numId w:val="37"/>
        </w:numPr>
        <w:ind w:left="2160"/>
        <w:rPr>
          <w:rFonts w:asciiTheme="minorHAnsi" w:hAnsiTheme="minorHAnsi" w:cstheme="minorHAnsi"/>
          <w:i/>
          <w:iCs/>
          <w:sz w:val="22"/>
          <w:szCs w:val="22"/>
        </w:rPr>
      </w:pPr>
      <w:r>
        <w:rPr>
          <w:rFonts w:asciiTheme="minorHAnsi" w:hAnsiTheme="minorHAnsi" w:cstheme="minorHAnsi"/>
          <w:i/>
          <w:iCs/>
          <w:sz w:val="22"/>
          <w:szCs w:val="22"/>
        </w:rPr>
        <w:t xml:space="preserve">ITE (Signal Specifications) and </w:t>
      </w:r>
      <w:r w:rsidR="00FF1FEF" w:rsidRPr="00FF1FEF">
        <w:rPr>
          <w:rFonts w:asciiTheme="minorHAnsi" w:hAnsiTheme="minorHAnsi" w:cstheme="minorHAnsi"/>
          <w:i/>
          <w:iCs/>
          <w:sz w:val="22"/>
          <w:szCs w:val="22"/>
        </w:rPr>
        <w:t>NEMA (TS 4 and TS 10</w:t>
      </w:r>
      <w:r>
        <w:rPr>
          <w:rFonts w:asciiTheme="minorHAnsi" w:hAnsiTheme="minorHAnsi" w:cstheme="minorHAnsi"/>
          <w:i/>
          <w:iCs/>
          <w:sz w:val="22"/>
          <w:szCs w:val="22"/>
        </w:rPr>
        <w:t xml:space="preserve"> standards</w:t>
      </w:r>
      <w:r w:rsidR="00FF1FEF" w:rsidRPr="00FF1FEF">
        <w:rPr>
          <w:rFonts w:asciiTheme="minorHAnsi" w:hAnsiTheme="minorHAnsi" w:cstheme="minorHAnsi"/>
          <w:i/>
          <w:iCs/>
          <w:sz w:val="22"/>
          <w:szCs w:val="22"/>
        </w:rPr>
        <w:t>)</w:t>
      </w:r>
    </w:p>
    <w:p w14:paraId="00A595EE" w14:textId="77777777" w:rsidR="00FF1FEF" w:rsidRPr="00FF1FEF" w:rsidRDefault="00FF1FEF" w:rsidP="00FF1FEF">
      <w:pPr>
        <w:numPr>
          <w:ilvl w:val="1"/>
          <w:numId w:val="37"/>
        </w:numPr>
        <w:ind w:left="2160"/>
        <w:rPr>
          <w:rFonts w:asciiTheme="minorHAnsi" w:hAnsiTheme="minorHAnsi" w:cstheme="minorHAnsi"/>
          <w:i/>
          <w:iCs/>
          <w:sz w:val="22"/>
          <w:szCs w:val="22"/>
        </w:rPr>
      </w:pPr>
      <w:r w:rsidRPr="00FF1FEF">
        <w:rPr>
          <w:rFonts w:asciiTheme="minorHAnsi" w:hAnsiTheme="minorHAnsi" w:cstheme="minorHAnsi"/>
          <w:i/>
          <w:iCs/>
          <w:sz w:val="22"/>
          <w:szCs w:val="22"/>
        </w:rPr>
        <w:t>International Municipal Signal Association (IMSA)</w:t>
      </w:r>
    </w:p>
    <w:p w14:paraId="6B75787E" w14:textId="77777777" w:rsidR="00FF1FEF" w:rsidRPr="00FF1FEF" w:rsidRDefault="00FF1FEF" w:rsidP="00FF1FEF">
      <w:pPr>
        <w:numPr>
          <w:ilvl w:val="1"/>
          <w:numId w:val="37"/>
        </w:numPr>
        <w:ind w:left="2160"/>
        <w:rPr>
          <w:rFonts w:asciiTheme="minorHAnsi" w:hAnsiTheme="minorHAnsi" w:cstheme="minorHAnsi"/>
          <w:i/>
          <w:iCs/>
          <w:sz w:val="22"/>
          <w:szCs w:val="22"/>
        </w:rPr>
      </w:pPr>
      <w:r w:rsidRPr="00FF1FEF">
        <w:rPr>
          <w:rFonts w:asciiTheme="minorHAnsi" w:hAnsiTheme="minorHAnsi" w:cstheme="minorHAnsi"/>
          <w:i/>
          <w:iCs/>
          <w:sz w:val="22"/>
          <w:szCs w:val="22"/>
        </w:rPr>
        <w:t>Society of Automotive Engineers (SAE)</w:t>
      </w:r>
    </w:p>
    <w:p w14:paraId="149C59FC" w14:textId="77777777" w:rsidR="00FF1FEF" w:rsidRPr="00FF1FEF" w:rsidRDefault="00FF1FEF" w:rsidP="00FF1FEF">
      <w:pPr>
        <w:numPr>
          <w:ilvl w:val="1"/>
          <w:numId w:val="37"/>
        </w:numPr>
        <w:ind w:left="2160"/>
        <w:rPr>
          <w:rFonts w:asciiTheme="minorHAnsi" w:hAnsiTheme="minorHAnsi" w:cstheme="minorHAnsi"/>
          <w:i/>
          <w:iCs/>
          <w:sz w:val="22"/>
          <w:szCs w:val="22"/>
        </w:rPr>
      </w:pPr>
      <w:r w:rsidRPr="00FF1FEF">
        <w:rPr>
          <w:rFonts w:asciiTheme="minorHAnsi" w:hAnsiTheme="minorHAnsi" w:cstheme="minorHAnsi"/>
          <w:i/>
          <w:iCs/>
          <w:sz w:val="22"/>
          <w:szCs w:val="22"/>
        </w:rPr>
        <w:t>and American Society for Testing and Materials (ASTM)</w:t>
      </w:r>
    </w:p>
    <w:p w14:paraId="4D34E041" w14:textId="77777777" w:rsidR="00FF1FEF" w:rsidRPr="00FF1FEF" w:rsidRDefault="00FF1FEF" w:rsidP="00FF1FEF">
      <w:pPr>
        <w:ind w:left="720"/>
        <w:rPr>
          <w:rFonts w:asciiTheme="minorHAnsi" w:hAnsiTheme="minorHAnsi" w:cstheme="minorHAnsi"/>
          <w:i/>
          <w:iCs/>
          <w:sz w:val="22"/>
          <w:szCs w:val="22"/>
        </w:rPr>
      </w:pPr>
    </w:p>
    <w:p w14:paraId="008BF0F0" w14:textId="77777777" w:rsidR="00FF1FEF" w:rsidRPr="00FF1FEF" w:rsidRDefault="00FF1FEF" w:rsidP="00FF1FEF">
      <w:pPr>
        <w:ind w:left="720"/>
        <w:rPr>
          <w:rFonts w:asciiTheme="minorHAnsi" w:hAnsiTheme="minorHAnsi" w:cstheme="minorHAnsi"/>
          <w:i/>
          <w:iCs/>
          <w:sz w:val="22"/>
          <w:szCs w:val="22"/>
        </w:rPr>
      </w:pPr>
      <w:r w:rsidRPr="00FF1FEF">
        <w:rPr>
          <w:rFonts w:asciiTheme="minorHAnsi" w:hAnsiTheme="minorHAnsi" w:cstheme="minorHAnsi"/>
          <w:i/>
          <w:iCs/>
          <w:sz w:val="22"/>
          <w:szCs w:val="22"/>
        </w:rPr>
        <w:t>Deliverables:</w:t>
      </w:r>
    </w:p>
    <w:p w14:paraId="13A6DA11" w14:textId="77777777" w:rsidR="00FF1FEF" w:rsidRPr="00FF1FEF" w:rsidRDefault="00FF1FEF" w:rsidP="00FF1FEF">
      <w:pPr>
        <w:numPr>
          <w:ilvl w:val="0"/>
          <w:numId w:val="35"/>
        </w:numPr>
        <w:rPr>
          <w:rFonts w:asciiTheme="minorHAnsi" w:hAnsiTheme="minorHAnsi" w:cstheme="minorHAnsi"/>
          <w:i/>
          <w:iCs/>
          <w:sz w:val="22"/>
          <w:szCs w:val="22"/>
        </w:rPr>
      </w:pPr>
      <w:r w:rsidRPr="00FF1FEF">
        <w:rPr>
          <w:rFonts w:asciiTheme="minorHAnsi" w:hAnsiTheme="minorHAnsi" w:cstheme="minorHAnsi"/>
          <w:i/>
          <w:iCs/>
          <w:sz w:val="22"/>
          <w:szCs w:val="22"/>
        </w:rPr>
        <w:t>Literature Search and Industry Survey</w:t>
      </w:r>
    </w:p>
    <w:p w14:paraId="03087E78" w14:textId="77777777" w:rsidR="00FF1FEF" w:rsidRPr="00FF1FEF" w:rsidRDefault="00FF1FEF" w:rsidP="00FF1FEF">
      <w:pPr>
        <w:numPr>
          <w:ilvl w:val="0"/>
          <w:numId w:val="34"/>
        </w:numPr>
        <w:tabs>
          <w:tab w:val="left" w:pos="1800"/>
        </w:tabs>
        <w:rPr>
          <w:rFonts w:asciiTheme="minorHAnsi" w:hAnsiTheme="minorHAnsi" w:cstheme="minorHAnsi"/>
          <w:i/>
          <w:iCs/>
          <w:sz w:val="22"/>
          <w:szCs w:val="22"/>
        </w:rPr>
      </w:pPr>
      <w:r w:rsidRPr="00FF1FEF">
        <w:rPr>
          <w:rFonts w:asciiTheme="minorHAnsi" w:hAnsiTheme="minorHAnsi" w:cstheme="minorHAnsi"/>
          <w:i/>
          <w:iCs/>
          <w:sz w:val="22"/>
          <w:szCs w:val="22"/>
        </w:rPr>
        <w:t>Establishing current industry state of the art Machine Vision interface Average Driver measurements – Eye Height, Cone of Vision, Sensor Sampling Speed, etc.</w:t>
      </w:r>
    </w:p>
    <w:p w14:paraId="77E87AB9" w14:textId="77777777" w:rsidR="00FF1FEF" w:rsidRPr="00FF1FEF" w:rsidRDefault="00FF1FEF" w:rsidP="00FF1FEF">
      <w:pPr>
        <w:numPr>
          <w:ilvl w:val="0"/>
          <w:numId w:val="34"/>
        </w:numPr>
        <w:tabs>
          <w:tab w:val="left" w:pos="1800"/>
        </w:tabs>
        <w:rPr>
          <w:rFonts w:asciiTheme="minorHAnsi" w:hAnsiTheme="minorHAnsi" w:cstheme="minorHAnsi"/>
          <w:i/>
          <w:iCs/>
          <w:sz w:val="22"/>
          <w:szCs w:val="22"/>
        </w:rPr>
      </w:pPr>
      <w:r w:rsidRPr="00FF1FEF">
        <w:rPr>
          <w:rFonts w:asciiTheme="minorHAnsi" w:hAnsiTheme="minorHAnsi" w:cstheme="minorHAnsi"/>
          <w:i/>
          <w:iCs/>
          <w:sz w:val="22"/>
          <w:szCs w:val="22"/>
        </w:rPr>
        <w:t>Establishing current industry Light Emitting Diode (LED) modulation state of practice (flicker) measurements.</w:t>
      </w:r>
    </w:p>
    <w:p w14:paraId="2CB90B73" w14:textId="77777777" w:rsidR="00FF1FEF" w:rsidRPr="00FF1FEF" w:rsidRDefault="00FF1FEF" w:rsidP="00FF1FEF">
      <w:pPr>
        <w:numPr>
          <w:ilvl w:val="0"/>
          <w:numId w:val="34"/>
        </w:numPr>
        <w:tabs>
          <w:tab w:val="left" w:pos="1800"/>
        </w:tabs>
        <w:rPr>
          <w:rFonts w:asciiTheme="minorHAnsi" w:hAnsiTheme="minorHAnsi" w:cstheme="minorHAnsi"/>
          <w:i/>
          <w:iCs/>
          <w:sz w:val="22"/>
          <w:szCs w:val="22"/>
        </w:rPr>
      </w:pPr>
      <w:r w:rsidRPr="00FF1FEF">
        <w:rPr>
          <w:rFonts w:asciiTheme="minorHAnsi" w:hAnsiTheme="minorHAnsi" w:cstheme="minorHAnsi"/>
          <w:i/>
          <w:iCs/>
          <w:sz w:val="22"/>
          <w:szCs w:val="22"/>
        </w:rPr>
        <w:t>Identifying related and potentially impacted industry (ASHTO, CIE, IEEE, IESNA, ITE, NEMA, SAE, NTCIP, etc.) standards and specifications.</w:t>
      </w:r>
    </w:p>
    <w:p w14:paraId="51F913DE" w14:textId="77777777" w:rsidR="00FF1FEF" w:rsidRPr="00FF1FEF" w:rsidRDefault="00FF1FEF" w:rsidP="00FF1FEF">
      <w:pPr>
        <w:numPr>
          <w:ilvl w:val="0"/>
          <w:numId w:val="34"/>
        </w:numPr>
        <w:tabs>
          <w:tab w:val="left" w:pos="1800"/>
        </w:tabs>
        <w:rPr>
          <w:rFonts w:asciiTheme="minorHAnsi" w:hAnsiTheme="minorHAnsi" w:cstheme="minorHAnsi"/>
          <w:i/>
          <w:iCs/>
          <w:sz w:val="22"/>
          <w:szCs w:val="22"/>
        </w:rPr>
      </w:pPr>
      <w:r w:rsidRPr="00FF1FEF">
        <w:rPr>
          <w:rFonts w:asciiTheme="minorHAnsi" w:hAnsiTheme="minorHAnsi" w:cstheme="minorHAnsi"/>
          <w:i/>
          <w:iCs/>
          <w:sz w:val="22"/>
          <w:szCs w:val="22"/>
        </w:rPr>
        <w:t>Identifying related and potentially controlling regulations such as FCC Part 15.</w:t>
      </w:r>
    </w:p>
    <w:p w14:paraId="1E2347DF" w14:textId="77777777" w:rsidR="0034059C" w:rsidRDefault="00FF1FEF" w:rsidP="00FF1FEF">
      <w:pPr>
        <w:numPr>
          <w:ilvl w:val="0"/>
          <w:numId w:val="34"/>
        </w:numPr>
        <w:tabs>
          <w:tab w:val="left" w:pos="1440"/>
        </w:tabs>
        <w:ind w:left="1440" w:hanging="540"/>
        <w:rPr>
          <w:rFonts w:asciiTheme="minorHAnsi" w:hAnsiTheme="minorHAnsi" w:cstheme="minorHAnsi"/>
          <w:i/>
          <w:iCs/>
          <w:sz w:val="22"/>
          <w:szCs w:val="22"/>
        </w:rPr>
      </w:pPr>
      <w:r w:rsidRPr="00FF1FEF">
        <w:rPr>
          <w:rFonts w:asciiTheme="minorHAnsi" w:hAnsiTheme="minorHAnsi" w:cstheme="minorHAnsi"/>
          <w:i/>
          <w:iCs/>
          <w:sz w:val="22"/>
          <w:szCs w:val="22"/>
        </w:rPr>
        <w:t>Draft Document and Research Plan</w:t>
      </w:r>
    </w:p>
    <w:p w14:paraId="5B7C045D" w14:textId="6D83E071" w:rsidR="00FF1FEF" w:rsidRPr="00FF1FEF" w:rsidRDefault="00FF1FEF" w:rsidP="0034059C">
      <w:pPr>
        <w:tabs>
          <w:tab w:val="left" w:pos="1440"/>
        </w:tabs>
        <w:ind w:left="1440"/>
        <w:rPr>
          <w:rFonts w:asciiTheme="minorHAnsi" w:hAnsiTheme="minorHAnsi" w:cstheme="minorHAnsi"/>
          <w:i/>
          <w:iCs/>
          <w:sz w:val="22"/>
          <w:szCs w:val="22"/>
        </w:rPr>
      </w:pPr>
      <w:r w:rsidRPr="00FF1FEF">
        <w:rPr>
          <w:rFonts w:asciiTheme="minorHAnsi" w:hAnsiTheme="minorHAnsi" w:cstheme="minorHAnsi"/>
          <w:i/>
          <w:iCs/>
          <w:sz w:val="22"/>
          <w:szCs w:val="22"/>
        </w:rPr>
        <w:t>(</w:t>
      </w:r>
      <w:r w:rsidR="0034059C">
        <w:rPr>
          <w:rFonts w:asciiTheme="minorHAnsi" w:hAnsiTheme="minorHAnsi" w:cstheme="minorHAnsi"/>
          <w:i/>
          <w:iCs/>
          <w:sz w:val="22"/>
          <w:szCs w:val="22"/>
        </w:rPr>
        <w:t>**</w:t>
      </w:r>
      <w:r w:rsidRPr="00FF1FEF">
        <w:rPr>
          <w:rFonts w:asciiTheme="minorHAnsi" w:hAnsiTheme="minorHAnsi" w:cstheme="minorHAnsi"/>
          <w:i/>
          <w:iCs/>
          <w:sz w:val="22"/>
          <w:szCs w:val="22"/>
        </w:rPr>
        <w:t>May require a Phase II Work Plan if laboratory testing and proof of concept work required</w:t>
      </w:r>
      <w:r w:rsidR="0034059C">
        <w:rPr>
          <w:rFonts w:asciiTheme="minorHAnsi" w:hAnsiTheme="minorHAnsi" w:cstheme="minorHAnsi"/>
          <w:i/>
          <w:iCs/>
          <w:sz w:val="22"/>
          <w:szCs w:val="22"/>
        </w:rPr>
        <w:t>**</w:t>
      </w:r>
      <w:r w:rsidRPr="00FF1FEF">
        <w:rPr>
          <w:rFonts w:asciiTheme="minorHAnsi" w:hAnsiTheme="minorHAnsi" w:cstheme="minorHAnsi"/>
          <w:i/>
          <w:iCs/>
          <w:sz w:val="22"/>
          <w:szCs w:val="22"/>
        </w:rPr>
        <w:t>)</w:t>
      </w:r>
    </w:p>
    <w:p w14:paraId="3FC04006" w14:textId="77777777" w:rsidR="00FF1FEF" w:rsidRPr="00FF1FEF" w:rsidRDefault="00FF1FEF" w:rsidP="00FF1FEF">
      <w:pPr>
        <w:numPr>
          <w:ilvl w:val="0"/>
          <w:numId w:val="34"/>
        </w:numPr>
        <w:tabs>
          <w:tab w:val="left" w:pos="1800"/>
        </w:tabs>
        <w:rPr>
          <w:rFonts w:asciiTheme="minorHAnsi" w:hAnsiTheme="minorHAnsi" w:cstheme="minorHAnsi"/>
          <w:i/>
          <w:iCs/>
          <w:sz w:val="22"/>
          <w:szCs w:val="22"/>
        </w:rPr>
      </w:pPr>
      <w:r w:rsidRPr="00FF1FEF">
        <w:rPr>
          <w:rFonts w:asciiTheme="minorHAnsi" w:hAnsiTheme="minorHAnsi" w:cstheme="minorHAnsi"/>
          <w:i/>
          <w:iCs/>
          <w:sz w:val="22"/>
          <w:szCs w:val="22"/>
        </w:rPr>
        <w:t>Develop and Test methods for improving the Machine Vision interface detection and interpretation of LED traffic control devices.</w:t>
      </w:r>
    </w:p>
    <w:p w14:paraId="4D64F0A8" w14:textId="77777777" w:rsidR="00FF1FEF" w:rsidRPr="00FF1FEF" w:rsidRDefault="00FF1FEF" w:rsidP="0034059C">
      <w:pPr>
        <w:numPr>
          <w:ilvl w:val="0"/>
          <w:numId w:val="34"/>
        </w:numPr>
        <w:rPr>
          <w:rFonts w:asciiTheme="minorHAnsi" w:hAnsiTheme="minorHAnsi" w:cstheme="minorHAnsi"/>
          <w:i/>
          <w:iCs/>
          <w:sz w:val="22"/>
          <w:szCs w:val="22"/>
        </w:rPr>
      </w:pPr>
      <w:r w:rsidRPr="00FF1FEF">
        <w:rPr>
          <w:rFonts w:asciiTheme="minorHAnsi" w:hAnsiTheme="minorHAnsi" w:cstheme="minorHAnsi"/>
          <w:i/>
          <w:iCs/>
          <w:sz w:val="22"/>
          <w:szCs w:val="22"/>
        </w:rPr>
        <w:t>Laboratory Testing (proof of concept)</w:t>
      </w:r>
    </w:p>
    <w:p w14:paraId="34714C00" w14:textId="77777777" w:rsidR="00FF1FEF" w:rsidRPr="00FF1FEF" w:rsidRDefault="00FF1FEF" w:rsidP="00FF1FEF">
      <w:pPr>
        <w:numPr>
          <w:ilvl w:val="0"/>
          <w:numId w:val="34"/>
        </w:numPr>
        <w:ind w:left="1440" w:hanging="540"/>
        <w:rPr>
          <w:rFonts w:asciiTheme="minorHAnsi" w:hAnsiTheme="minorHAnsi" w:cstheme="minorHAnsi"/>
          <w:i/>
          <w:iCs/>
          <w:sz w:val="22"/>
          <w:szCs w:val="22"/>
        </w:rPr>
      </w:pPr>
      <w:r w:rsidRPr="00FF1FEF">
        <w:rPr>
          <w:rFonts w:asciiTheme="minorHAnsi" w:hAnsiTheme="minorHAnsi" w:cstheme="minorHAnsi"/>
          <w:i/>
          <w:iCs/>
          <w:sz w:val="22"/>
          <w:szCs w:val="22"/>
        </w:rPr>
        <w:t>Final Document (Report) and Peer Exchange</w:t>
      </w:r>
    </w:p>
    <w:p w14:paraId="797D7636" w14:textId="77777777" w:rsidR="00FF1FEF" w:rsidRPr="00FF1FEF" w:rsidRDefault="00FF1FEF" w:rsidP="00FF1FEF">
      <w:pPr>
        <w:numPr>
          <w:ilvl w:val="0"/>
          <w:numId w:val="34"/>
        </w:numPr>
        <w:tabs>
          <w:tab w:val="left" w:pos="1800"/>
        </w:tabs>
        <w:rPr>
          <w:rFonts w:asciiTheme="minorHAnsi" w:hAnsiTheme="minorHAnsi" w:cstheme="minorHAnsi"/>
          <w:i/>
          <w:iCs/>
          <w:sz w:val="22"/>
          <w:szCs w:val="22"/>
        </w:rPr>
      </w:pPr>
      <w:r w:rsidRPr="00FF1FEF">
        <w:rPr>
          <w:rFonts w:asciiTheme="minorHAnsi" w:hAnsiTheme="minorHAnsi" w:cstheme="minorHAnsi"/>
          <w:i/>
          <w:iCs/>
          <w:sz w:val="22"/>
          <w:szCs w:val="22"/>
        </w:rPr>
        <w:t>Summary of ADS Sensor and LED TCD state of the art</w:t>
      </w:r>
    </w:p>
    <w:p w14:paraId="5D2CEA21" w14:textId="77777777" w:rsidR="00FF1FEF" w:rsidRPr="00FF1FEF" w:rsidRDefault="00FF1FEF" w:rsidP="00FF1FEF">
      <w:pPr>
        <w:numPr>
          <w:ilvl w:val="0"/>
          <w:numId w:val="34"/>
        </w:numPr>
        <w:tabs>
          <w:tab w:val="left" w:pos="1800"/>
        </w:tabs>
        <w:rPr>
          <w:rFonts w:asciiTheme="minorHAnsi" w:hAnsiTheme="minorHAnsi" w:cstheme="minorHAnsi"/>
          <w:i/>
          <w:iCs/>
          <w:sz w:val="22"/>
          <w:szCs w:val="22"/>
        </w:rPr>
      </w:pPr>
      <w:r w:rsidRPr="00FF1FEF">
        <w:rPr>
          <w:rFonts w:asciiTheme="minorHAnsi" w:hAnsiTheme="minorHAnsi" w:cstheme="minorHAnsi"/>
          <w:i/>
          <w:iCs/>
          <w:sz w:val="22"/>
          <w:szCs w:val="22"/>
        </w:rPr>
        <w:t>ADS Sensor and LED TCD specification recommendations.</w:t>
      </w:r>
    </w:p>
    <w:p w14:paraId="1F1EDF37" w14:textId="77777777" w:rsidR="00FF1FEF" w:rsidRPr="00FF1FEF" w:rsidRDefault="00FF1FEF" w:rsidP="00FF1FEF">
      <w:pPr>
        <w:numPr>
          <w:ilvl w:val="0"/>
          <w:numId w:val="34"/>
        </w:numPr>
        <w:tabs>
          <w:tab w:val="left" w:pos="1800"/>
        </w:tabs>
        <w:rPr>
          <w:rFonts w:asciiTheme="minorHAnsi" w:hAnsiTheme="minorHAnsi" w:cstheme="minorHAnsi"/>
          <w:i/>
          <w:iCs/>
          <w:sz w:val="22"/>
          <w:szCs w:val="22"/>
        </w:rPr>
      </w:pPr>
      <w:r w:rsidRPr="00FF1FEF">
        <w:rPr>
          <w:rFonts w:asciiTheme="minorHAnsi" w:hAnsiTheme="minorHAnsi" w:cstheme="minorHAnsi"/>
          <w:i/>
          <w:iCs/>
          <w:sz w:val="22"/>
          <w:szCs w:val="22"/>
        </w:rPr>
        <w:t>Outreach material (presentation) to inform affected regulatory, standard and specification committees such as the NCUTCD, AASHTO, SAE or others of the proposed best practice.</w:t>
      </w:r>
    </w:p>
    <w:p w14:paraId="1BAEC9C4" w14:textId="77777777" w:rsidR="00852422" w:rsidRPr="005459DB" w:rsidRDefault="00852422" w:rsidP="00232C72">
      <w:pPr>
        <w:suppressAutoHyphens/>
        <w:ind w:left="720"/>
        <w:contextualSpacing/>
        <w:rPr>
          <w:rFonts w:ascii="Calibri" w:hAnsi="Calibri"/>
          <w:b/>
          <w:color w:val="000000" w:themeColor="text1"/>
          <w:spacing w:val="-2"/>
          <w:szCs w:val="24"/>
        </w:rPr>
      </w:pPr>
    </w:p>
    <w:p w14:paraId="1B7F16EF" w14:textId="77777777" w:rsidR="0068652F" w:rsidRPr="005459DB" w:rsidRDefault="00E54962" w:rsidP="0068652F">
      <w:pPr>
        <w:suppressAutoHyphens/>
        <w:contextualSpacing/>
        <w:rPr>
          <w:rFonts w:ascii="Calibri" w:hAnsi="Calibri"/>
          <w:b/>
          <w:spacing w:val="-2"/>
          <w:szCs w:val="24"/>
        </w:rPr>
      </w:pPr>
      <w:r w:rsidRPr="005459DB">
        <w:rPr>
          <w:rFonts w:ascii="Calibri" w:hAnsi="Calibri"/>
          <w:b/>
          <w:color w:val="000000" w:themeColor="text1"/>
          <w:spacing w:val="-2"/>
          <w:szCs w:val="24"/>
        </w:rPr>
        <w:t>5</w:t>
      </w:r>
      <w:r w:rsidR="00852422" w:rsidRPr="00E4439B">
        <w:rPr>
          <w:rFonts w:ascii="Calibri" w:hAnsi="Calibri"/>
          <w:b/>
          <w:color w:val="000000" w:themeColor="text1"/>
          <w:spacing w:val="-2"/>
        </w:rPr>
        <w:t>.</w:t>
      </w:r>
      <w:r w:rsidR="00852422" w:rsidRPr="00E4439B">
        <w:rPr>
          <w:rFonts w:ascii="Calibri" w:hAnsi="Calibri"/>
          <w:b/>
          <w:color w:val="000000" w:themeColor="text1"/>
          <w:spacing w:val="-2"/>
        </w:rPr>
        <w:tab/>
      </w:r>
      <w:r w:rsidR="0068652F" w:rsidRPr="005459DB">
        <w:rPr>
          <w:rFonts w:ascii="Calibri" w:hAnsi="Calibri"/>
          <w:b/>
          <w:spacing w:val="-2"/>
          <w:szCs w:val="24"/>
        </w:rPr>
        <w:t>Urgency and Potential Benefits</w:t>
      </w:r>
    </w:p>
    <w:p w14:paraId="245C03F3" w14:textId="0A204ABF" w:rsidR="00672638" w:rsidRPr="00672638" w:rsidRDefault="00672638" w:rsidP="00672638">
      <w:pPr>
        <w:pStyle w:val="ListParagraph"/>
        <w:rPr>
          <w:rFonts w:asciiTheme="minorHAnsi" w:hAnsiTheme="minorHAnsi" w:cstheme="minorHAnsi"/>
          <w:i/>
          <w:iCs/>
          <w:szCs w:val="24"/>
        </w:rPr>
      </w:pPr>
      <w:r w:rsidRPr="00672638">
        <w:rPr>
          <w:rFonts w:asciiTheme="minorHAnsi" w:hAnsiTheme="minorHAnsi" w:cstheme="minorHAnsi"/>
          <w:i/>
          <w:iCs/>
          <w:szCs w:val="24"/>
        </w:rPr>
        <w:t>This research effort is needed now to support scheduled standards updates.  A collaborative, industry-supported solution would improve the potential for TCD LED display detection and comprehension via the ADS machine vision (camera or other sensor) interfaces, facilitate information processing by the ADS and support the safe deployment of ADS on the nation’s transportation network.  This work will facilitate the preparation of the nation’s transportation network and the national automotive fleet to support the safe deployment of ADS vehicles.</w:t>
      </w:r>
    </w:p>
    <w:p w14:paraId="791055CB" w14:textId="77777777" w:rsidR="00672638" w:rsidRPr="00672638" w:rsidRDefault="00672638" w:rsidP="003416F5">
      <w:pPr>
        <w:pStyle w:val="ListParagraph"/>
        <w:rPr>
          <w:sz w:val="22"/>
          <w:szCs w:val="22"/>
        </w:rPr>
      </w:pPr>
    </w:p>
    <w:p w14:paraId="4BCEFF31" w14:textId="77777777" w:rsidR="00CB620E" w:rsidRPr="005459DB" w:rsidRDefault="0068652F" w:rsidP="00232C72">
      <w:pPr>
        <w:suppressAutoHyphens/>
        <w:contextualSpacing/>
        <w:rPr>
          <w:rFonts w:ascii="Calibri" w:hAnsi="Calibri"/>
          <w:b/>
          <w:color w:val="000000" w:themeColor="text1"/>
          <w:spacing w:val="-2"/>
          <w:szCs w:val="24"/>
        </w:rPr>
      </w:pPr>
      <w:r>
        <w:rPr>
          <w:rFonts w:ascii="Calibri" w:hAnsi="Calibri"/>
          <w:b/>
          <w:color w:val="000000" w:themeColor="text1"/>
          <w:spacing w:val="-2"/>
          <w:szCs w:val="24"/>
        </w:rPr>
        <w:t xml:space="preserve">6. </w:t>
      </w:r>
      <w:r>
        <w:rPr>
          <w:rFonts w:ascii="Calibri" w:hAnsi="Calibri"/>
          <w:b/>
          <w:color w:val="000000" w:themeColor="text1"/>
          <w:spacing w:val="-2"/>
          <w:szCs w:val="24"/>
        </w:rPr>
        <w:tab/>
      </w:r>
      <w:r w:rsidR="00540BDC" w:rsidRPr="005459DB">
        <w:rPr>
          <w:rFonts w:ascii="Calibri" w:hAnsi="Calibri"/>
          <w:b/>
          <w:color w:val="000000" w:themeColor="text1"/>
          <w:spacing w:val="-2"/>
          <w:szCs w:val="24"/>
        </w:rPr>
        <w:t xml:space="preserve">Implementation </w:t>
      </w:r>
      <w:r w:rsidR="00AE1BF8" w:rsidRPr="005459DB">
        <w:rPr>
          <w:rFonts w:ascii="Calibri" w:hAnsi="Calibri"/>
          <w:b/>
          <w:color w:val="000000" w:themeColor="text1"/>
          <w:spacing w:val="-2"/>
          <w:szCs w:val="24"/>
        </w:rPr>
        <w:t>Considerations</w:t>
      </w:r>
      <w:r w:rsidR="006F1F8E">
        <w:rPr>
          <w:rFonts w:ascii="Calibri" w:hAnsi="Calibri"/>
          <w:b/>
          <w:color w:val="000000" w:themeColor="text1"/>
          <w:spacing w:val="-2"/>
          <w:szCs w:val="24"/>
        </w:rPr>
        <w:t xml:space="preserve"> and Supporters</w:t>
      </w:r>
    </w:p>
    <w:p w14:paraId="5F20E340" w14:textId="77777777" w:rsidR="00D52EAB" w:rsidRPr="005459DB" w:rsidRDefault="00D52EAB" w:rsidP="00232C72">
      <w:pPr>
        <w:suppressAutoHyphens/>
        <w:ind w:left="720"/>
        <w:contextualSpacing/>
        <w:rPr>
          <w:rFonts w:ascii="Calibri" w:hAnsi="Calibri"/>
          <w:spacing w:val="-2"/>
          <w:szCs w:val="24"/>
        </w:rPr>
      </w:pPr>
      <w:r w:rsidRPr="005459DB">
        <w:rPr>
          <w:rFonts w:ascii="Calibri" w:hAnsi="Calibri"/>
          <w:spacing w:val="-2"/>
          <w:szCs w:val="24"/>
        </w:rPr>
        <w:t>To aid the AASHTO R&amp;I Committee in deciding whether to fund this project, describe:</w:t>
      </w:r>
    </w:p>
    <w:p w14:paraId="0BBAF009" w14:textId="75A0363B" w:rsidR="001E4172" w:rsidRPr="005459DB" w:rsidRDefault="001E4172" w:rsidP="00232C72">
      <w:pPr>
        <w:pStyle w:val="ListParagraph"/>
        <w:numPr>
          <w:ilvl w:val="0"/>
          <w:numId w:val="30"/>
        </w:numPr>
        <w:suppressAutoHyphens/>
        <w:rPr>
          <w:rFonts w:ascii="Calibri" w:hAnsi="Calibri"/>
          <w:color w:val="000000" w:themeColor="text1"/>
          <w:spacing w:val="-2"/>
          <w:szCs w:val="24"/>
        </w:rPr>
      </w:pPr>
      <w:r w:rsidRPr="005459DB">
        <w:rPr>
          <w:rFonts w:ascii="Calibri" w:hAnsi="Calibri"/>
          <w:color w:val="000000" w:themeColor="text1"/>
          <w:spacing w:val="-2"/>
          <w:szCs w:val="24"/>
        </w:rPr>
        <w:t xml:space="preserve">Who within a state DOT will likely be responsible for using the research </w:t>
      </w:r>
      <w:proofErr w:type="gramStart"/>
      <w:r w:rsidRPr="005459DB">
        <w:rPr>
          <w:rFonts w:ascii="Calibri" w:hAnsi="Calibri"/>
          <w:color w:val="000000" w:themeColor="text1"/>
          <w:spacing w:val="-2"/>
          <w:szCs w:val="24"/>
        </w:rPr>
        <w:t>results</w:t>
      </w:r>
      <w:r w:rsidR="00B257BD">
        <w:rPr>
          <w:rFonts w:ascii="Calibri" w:hAnsi="Calibri"/>
          <w:color w:val="000000" w:themeColor="text1"/>
          <w:spacing w:val="-2"/>
          <w:szCs w:val="24"/>
        </w:rPr>
        <w:t>.</w:t>
      </w:r>
      <w:proofErr w:type="gramEnd"/>
      <w:r w:rsidR="000F0323">
        <w:rPr>
          <w:rFonts w:ascii="Calibri" w:hAnsi="Calibri"/>
          <w:i/>
          <w:iCs/>
          <w:color w:val="000000" w:themeColor="text1"/>
          <w:spacing w:val="-2"/>
          <w:szCs w:val="24"/>
        </w:rPr>
        <w:t xml:space="preserve">  IT, ITS, Traffic and TSMO Groups.</w:t>
      </w:r>
    </w:p>
    <w:p w14:paraId="1D973E52" w14:textId="52269141" w:rsidR="00071682" w:rsidRPr="005459DB" w:rsidRDefault="00071682" w:rsidP="00232C72">
      <w:pPr>
        <w:numPr>
          <w:ilvl w:val="0"/>
          <w:numId w:val="11"/>
        </w:numPr>
        <w:ind w:left="1080"/>
        <w:contextualSpacing/>
        <w:rPr>
          <w:rFonts w:ascii="Calibri" w:hAnsi="Calibri"/>
          <w:color w:val="000000" w:themeColor="text1"/>
          <w:szCs w:val="24"/>
        </w:rPr>
      </w:pPr>
      <w:r w:rsidRPr="005459DB">
        <w:rPr>
          <w:rFonts w:ascii="Calibri" w:hAnsi="Calibri"/>
          <w:color w:val="000000" w:themeColor="text1"/>
          <w:szCs w:val="24"/>
        </w:rPr>
        <w:t xml:space="preserve">How state DOTs </w:t>
      </w:r>
      <w:r w:rsidR="00D52EAB" w:rsidRPr="005459DB">
        <w:rPr>
          <w:rFonts w:ascii="Calibri" w:hAnsi="Calibri"/>
          <w:color w:val="000000" w:themeColor="text1"/>
          <w:szCs w:val="24"/>
        </w:rPr>
        <w:t xml:space="preserve">can </w:t>
      </w:r>
      <w:r w:rsidRPr="005459DB">
        <w:rPr>
          <w:rFonts w:ascii="Calibri" w:hAnsi="Calibri"/>
          <w:color w:val="000000" w:themeColor="text1"/>
          <w:szCs w:val="24"/>
        </w:rPr>
        <w:t xml:space="preserve">implement the research within their </w:t>
      </w:r>
      <w:r w:rsidR="001E4172" w:rsidRPr="005459DB">
        <w:rPr>
          <w:rFonts w:ascii="Calibri" w:hAnsi="Calibri"/>
          <w:color w:val="000000" w:themeColor="text1"/>
          <w:szCs w:val="24"/>
        </w:rPr>
        <w:t xml:space="preserve">own </w:t>
      </w:r>
      <w:r w:rsidRPr="005459DB">
        <w:rPr>
          <w:rFonts w:ascii="Calibri" w:hAnsi="Calibri"/>
          <w:color w:val="000000" w:themeColor="text1"/>
          <w:szCs w:val="24"/>
        </w:rPr>
        <w:t>organization</w:t>
      </w:r>
      <w:r w:rsidR="00D52EAB" w:rsidRPr="005459DB">
        <w:rPr>
          <w:rFonts w:ascii="Calibri" w:hAnsi="Calibri"/>
          <w:color w:val="000000" w:themeColor="text1"/>
          <w:szCs w:val="24"/>
        </w:rPr>
        <w:t xml:space="preserve"> and w</w:t>
      </w:r>
      <w:r w:rsidR="008116DE" w:rsidRPr="005459DB">
        <w:rPr>
          <w:rFonts w:ascii="Calibri" w:hAnsi="Calibri"/>
          <w:color w:val="000000" w:themeColor="text1"/>
          <w:szCs w:val="24"/>
        </w:rPr>
        <w:t xml:space="preserve">hat major steps </w:t>
      </w:r>
      <w:r w:rsidR="001E4172" w:rsidRPr="005459DB">
        <w:rPr>
          <w:rFonts w:ascii="Calibri" w:hAnsi="Calibri"/>
          <w:color w:val="000000" w:themeColor="text1"/>
          <w:szCs w:val="24"/>
        </w:rPr>
        <w:t>they</w:t>
      </w:r>
      <w:r w:rsidR="008116DE" w:rsidRPr="005459DB">
        <w:rPr>
          <w:rFonts w:ascii="Calibri" w:hAnsi="Calibri"/>
          <w:color w:val="000000" w:themeColor="text1"/>
          <w:szCs w:val="24"/>
        </w:rPr>
        <w:t xml:space="preserve"> </w:t>
      </w:r>
      <w:r w:rsidR="00D52EAB" w:rsidRPr="005459DB">
        <w:rPr>
          <w:rFonts w:ascii="Calibri" w:hAnsi="Calibri"/>
          <w:color w:val="000000" w:themeColor="text1"/>
          <w:szCs w:val="24"/>
        </w:rPr>
        <w:t xml:space="preserve">would </w:t>
      </w:r>
      <w:r w:rsidR="008116DE" w:rsidRPr="005459DB">
        <w:rPr>
          <w:rFonts w:ascii="Calibri" w:hAnsi="Calibri"/>
          <w:color w:val="000000" w:themeColor="text1"/>
          <w:szCs w:val="24"/>
        </w:rPr>
        <w:t>need to take</w:t>
      </w:r>
      <w:r w:rsidR="00B257BD">
        <w:rPr>
          <w:rFonts w:ascii="Calibri" w:hAnsi="Calibri"/>
          <w:color w:val="000000" w:themeColor="text1"/>
          <w:szCs w:val="24"/>
        </w:rPr>
        <w:t>.</w:t>
      </w:r>
      <w:r w:rsidR="000F0323">
        <w:rPr>
          <w:rFonts w:ascii="Calibri" w:hAnsi="Calibri"/>
          <w:color w:val="000000" w:themeColor="text1"/>
          <w:szCs w:val="24"/>
        </w:rPr>
        <w:t xml:space="preserve">  </w:t>
      </w:r>
      <w:r w:rsidR="000F0323">
        <w:rPr>
          <w:rFonts w:ascii="Calibri" w:hAnsi="Calibri"/>
          <w:i/>
          <w:iCs/>
          <w:color w:val="000000" w:themeColor="text1"/>
          <w:szCs w:val="24"/>
        </w:rPr>
        <w:t>Adopt new standards and incorporate those standards into on going and future purchasing efforts.</w:t>
      </w:r>
    </w:p>
    <w:p w14:paraId="4E3E9A58" w14:textId="004729E4" w:rsidR="008116DE" w:rsidRPr="005459DB" w:rsidRDefault="008116DE" w:rsidP="00232C72">
      <w:pPr>
        <w:numPr>
          <w:ilvl w:val="0"/>
          <w:numId w:val="11"/>
        </w:numPr>
        <w:ind w:left="1080"/>
        <w:contextualSpacing/>
        <w:rPr>
          <w:rFonts w:ascii="Calibri" w:hAnsi="Calibri"/>
          <w:color w:val="000000" w:themeColor="text1"/>
          <w:szCs w:val="24"/>
        </w:rPr>
      </w:pPr>
      <w:r w:rsidRPr="005459DB">
        <w:rPr>
          <w:rFonts w:ascii="Calibri" w:hAnsi="Calibri"/>
          <w:color w:val="000000" w:themeColor="text1"/>
          <w:szCs w:val="24"/>
        </w:rPr>
        <w:t xml:space="preserve">What existing venues or processes could be used to support </w:t>
      </w:r>
      <w:r w:rsidR="00B257BD" w:rsidRPr="005459DB">
        <w:rPr>
          <w:rFonts w:ascii="Calibri" w:hAnsi="Calibri"/>
          <w:color w:val="000000" w:themeColor="text1"/>
          <w:szCs w:val="24"/>
        </w:rPr>
        <w:t>implementation</w:t>
      </w:r>
      <w:r w:rsidR="00B257BD">
        <w:rPr>
          <w:rFonts w:ascii="Calibri" w:hAnsi="Calibri"/>
          <w:color w:val="000000" w:themeColor="text1"/>
          <w:szCs w:val="24"/>
        </w:rPr>
        <w:t>.</w:t>
      </w:r>
      <w:r w:rsidR="000F0323">
        <w:rPr>
          <w:rFonts w:ascii="Calibri" w:hAnsi="Calibri"/>
          <w:color w:val="000000" w:themeColor="text1"/>
          <w:szCs w:val="24"/>
        </w:rPr>
        <w:t xml:space="preserve">  </w:t>
      </w:r>
      <w:r w:rsidR="000F0323">
        <w:rPr>
          <w:rFonts w:ascii="Calibri" w:hAnsi="Calibri"/>
          <w:i/>
          <w:iCs/>
          <w:color w:val="000000" w:themeColor="text1"/>
          <w:szCs w:val="24"/>
        </w:rPr>
        <w:t>AASHTO, ITE, NCHRP, NEMA, SAE and TRB conferences, committee meetings, document and standards distribution.</w:t>
      </w:r>
    </w:p>
    <w:p w14:paraId="52B3F18B" w14:textId="50AFE3E4" w:rsidR="006F1F8E" w:rsidRDefault="00AE1BF8" w:rsidP="00232C72">
      <w:pPr>
        <w:numPr>
          <w:ilvl w:val="0"/>
          <w:numId w:val="11"/>
        </w:numPr>
        <w:ind w:left="1080"/>
        <w:contextualSpacing/>
        <w:rPr>
          <w:rFonts w:ascii="Calibri" w:hAnsi="Calibri"/>
          <w:color w:val="000000" w:themeColor="text1"/>
          <w:szCs w:val="24"/>
        </w:rPr>
      </w:pPr>
      <w:r w:rsidRPr="005459DB">
        <w:rPr>
          <w:rFonts w:ascii="Calibri" w:hAnsi="Calibri"/>
          <w:color w:val="000000" w:themeColor="text1"/>
          <w:szCs w:val="24"/>
        </w:rPr>
        <w:t xml:space="preserve">What kinds of </w:t>
      </w:r>
      <w:r w:rsidR="0068652F">
        <w:rPr>
          <w:rFonts w:ascii="Calibri" w:hAnsi="Calibri"/>
          <w:color w:val="000000" w:themeColor="text1"/>
          <w:szCs w:val="24"/>
        </w:rPr>
        <w:t xml:space="preserve">additional products and </w:t>
      </w:r>
      <w:r w:rsidR="00B74CB8" w:rsidRPr="005459DB">
        <w:rPr>
          <w:rFonts w:ascii="Calibri" w:hAnsi="Calibri"/>
          <w:color w:val="000000" w:themeColor="text1"/>
          <w:szCs w:val="24"/>
        </w:rPr>
        <w:t>activities</w:t>
      </w:r>
      <w:r w:rsidR="0068652F">
        <w:rPr>
          <w:rFonts w:ascii="Calibri" w:hAnsi="Calibri"/>
          <w:color w:val="000000" w:themeColor="text1"/>
          <w:szCs w:val="24"/>
        </w:rPr>
        <w:t xml:space="preserve"> (for</w:t>
      </w:r>
      <w:r w:rsidR="00D52EAB" w:rsidRPr="005459DB">
        <w:rPr>
          <w:rFonts w:ascii="Calibri" w:hAnsi="Calibri"/>
          <w:color w:val="000000" w:themeColor="text1"/>
          <w:szCs w:val="24"/>
        </w:rPr>
        <w:t xml:space="preserve"> e.g. </w:t>
      </w:r>
      <w:r w:rsidR="00B74CB8" w:rsidRPr="005459DB">
        <w:rPr>
          <w:rFonts w:ascii="Calibri" w:hAnsi="Calibri"/>
          <w:color w:val="000000" w:themeColor="text1"/>
          <w:szCs w:val="24"/>
        </w:rPr>
        <w:t xml:space="preserve">brochures, summaries, presentations, </w:t>
      </w:r>
      <w:r w:rsidRPr="005459DB">
        <w:rPr>
          <w:rFonts w:ascii="Calibri" w:hAnsi="Calibri"/>
          <w:color w:val="000000" w:themeColor="text1"/>
          <w:szCs w:val="24"/>
        </w:rPr>
        <w:t xml:space="preserve">training </w:t>
      </w:r>
      <w:r w:rsidR="00B74CB8" w:rsidRPr="005459DB">
        <w:rPr>
          <w:rFonts w:ascii="Calibri" w:hAnsi="Calibri"/>
          <w:color w:val="000000" w:themeColor="text1"/>
          <w:szCs w:val="24"/>
        </w:rPr>
        <w:t>workshops, peer exchanges</w:t>
      </w:r>
      <w:r w:rsidR="000C6F94" w:rsidRPr="005459DB">
        <w:rPr>
          <w:rFonts w:ascii="Calibri" w:hAnsi="Calibri"/>
          <w:color w:val="000000" w:themeColor="text1"/>
          <w:szCs w:val="24"/>
        </w:rPr>
        <w:t xml:space="preserve">, </w:t>
      </w:r>
      <w:r w:rsidR="0068652F">
        <w:rPr>
          <w:rFonts w:ascii="Calibri" w:hAnsi="Calibri"/>
          <w:color w:val="000000" w:themeColor="text1"/>
          <w:szCs w:val="24"/>
        </w:rPr>
        <w:t>p</w:t>
      </w:r>
      <w:r w:rsidR="000C6F94" w:rsidRPr="005459DB">
        <w:rPr>
          <w:rFonts w:ascii="Calibri" w:hAnsi="Calibri"/>
          <w:color w:val="000000" w:themeColor="text1"/>
          <w:szCs w:val="24"/>
        </w:rPr>
        <w:t>ilot testing</w:t>
      </w:r>
      <w:r w:rsidR="0068652F">
        <w:rPr>
          <w:rFonts w:ascii="Calibri" w:hAnsi="Calibri"/>
          <w:color w:val="000000" w:themeColor="text1"/>
          <w:szCs w:val="24"/>
        </w:rPr>
        <w:t>,</w:t>
      </w:r>
      <w:r w:rsidR="000C6F94" w:rsidRPr="005459DB">
        <w:rPr>
          <w:rFonts w:ascii="Calibri" w:hAnsi="Calibri"/>
          <w:color w:val="000000" w:themeColor="text1"/>
          <w:szCs w:val="24"/>
        </w:rPr>
        <w:t xml:space="preserve"> </w:t>
      </w:r>
      <w:r w:rsidR="0068652F">
        <w:rPr>
          <w:rFonts w:ascii="Calibri" w:hAnsi="Calibri"/>
          <w:color w:val="000000" w:themeColor="text1"/>
          <w:szCs w:val="24"/>
        </w:rPr>
        <w:t xml:space="preserve">and </w:t>
      </w:r>
      <w:r w:rsidR="000C6F94" w:rsidRPr="005459DB">
        <w:rPr>
          <w:rFonts w:ascii="Calibri" w:hAnsi="Calibri"/>
          <w:color w:val="000000" w:themeColor="text1"/>
          <w:szCs w:val="24"/>
        </w:rPr>
        <w:t>verification and validation of the research results</w:t>
      </w:r>
      <w:r w:rsidR="0068652F">
        <w:rPr>
          <w:rFonts w:ascii="Calibri" w:hAnsi="Calibri"/>
          <w:color w:val="000000" w:themeColor="text1"/>
          <w:szCs w:val="24"/>
        </w:rPr>
        <w:t>)</w:t>
      </w:r>
      <w:r w:rsidR="00D52EAB" w:rsidRPr="005459DB">
        <w:rPr>
          <w:rFonts w:ascii="Calibri" w:hAnsi="Calibri"/>
          <w:color w:val="000000" w:themeColor="text1"/>
          <w:szCs w:val="24"/>
        </w:rPr>
        <w:t xml:space="preserve"> will help create awareness and </w:t>
      </w:r>
      <w:r w:rsidR="0068652F">
        <w:rPr>
          <w:rFonts w:ascii="Calibri" w:hAnsi="Calibri"/>
          <w:color w:val="000000" w:themeColor="text1"/>
          <w:szCs w:val="24"/>
        </w:rPr>
        <w:t xml:space="preserve">facilitate </w:t>
      </w:r>
      <w:r w:rsidR="00D52EAB" w:rsidRPr="005459DB">
        <w:rPr>
          <w:rFonts w:ascii="Calibri" w:hAnsi="Calibri"/>
          <w:color w:val="000000" w:themeColor="text1"/>
          <w:szCs w:val="24"/>
        </w:rPr>
        <w:t>implementation of the research results</w:t>
      </w:r>
      <w:r w:rsidR="00B257BD">
        <w:rPr>
          <w:rFonts w:ascii="Calibri" w:hAnsi="Calibri"/>
          <w:color w:val="000000" w:themeColor="text1"/>
          <w:szCs w:val="24"/>
        </w:rPr>
        <w:t>.</w:t>
      </w:r>
      <w:r w:rsidR="00D52EAB" w:rsidRPr="005459DB">
        <w:rPr>
          <w:rFonts w:ascii="Calibri" w:hAnsi="Calibri"/>
          <w:color w:val="000000" w:themeColor="text1"/>
          <w:szCs w:val="24"/>
        </w:rPr>
        <w:t xml:space="preserve"> </w:t>
      </w:r>
      <w:r w:rsidR="000F0323">
        <w:rPr>
          <w:rFonts w:ascii="Calibri" w:hAnsi="Calibri"/>
          <w:i/>
          <w:iCs/>
          <w:color w:val="000000" w:themeColor="text1"/>
          <w:szCs w:val="24"/>
        </w:rPr>
        <w:t>Training workshops, pilots and peer exchanges.</w:t>
      </w:r>
    </w:p>
    <w:p w14:paraId="5C463796" w14:textId="77777777" w:rsidR="006F1F8E" w:rsidRDefault="006F1F8E" w:rsidP="00232C72">
      <w:pPr>
        <w:ind w:left="1080"/>
        <w:contextualSpacing/>
        <w:rPr>
          <w:rFonts w:ascii="Calibri" w:hAnsi="Calibri"/>
          <w:color w:val="000000" w:themeColor="text1"/>
          <w:szCs w:val="24"/>
        </w:rPr>
      </w:pPr>
    </w:p>
    <w:p w14:paraId="0CCF6A62" w14:textId="77777777" w:rsidR="00ED2836" w:rsidRDefault="006F1F8E" w:rsidP="00232C72">
      <w:pPr>
        <w:ind w:left="720"/>
        <w:contextualSpacing/>
        <w:rPr>
          <w:rFonts w:ascii="Calibri" w:hAnsi="Calibri"/>
          <w:spacing w:val="-2"/>
          <w:szCs w:val="24"/>
        </w:rPr>
      </w:pPr>
      <w:r>
        <w:rPr>
          <w:rFonts w:ascii="Calibri" w:hAnsi="Calibri"/>
          <w:color w:val="000000" w:themeColor="text1"/>
          <w:szCs w:val="24"/>
        </w:rPr>
        <w:lastRenderedPageBreak/>
        <w:t>L</w:t>
      </w:r>
      <w:r w:rsidRPr="005459DB">
        <w:rPr>
          <w:rFonts w:ascii="Calibri" w:hAnsi="Calibri"/>
          <w:spacing w:val="-2"/>
          <w:szCs w:val="24"/>
        </w:rPr>
        <w:t xml:space="preserve">ist the AASHTO </w:t>
      </w:r>
      <w:r w:rsidR="00AA6B38">
        <w:rPr>
          <w:rFonts w:ascii="Calibri" w:hAnsi="Calibri"/>
          <w:spacing w:val="-2"/>
          <w:szCs w:val="24"/>
        </w:rPr>
        <w:t>C</w:t>
      </w:r>
      <w:r w:rsidR="00AA6B38" w:rsidRPr="005459DB">
        <w:rPr>
          <w:rFonts w:ascii="Calibri" w:hAnsi="Calibri"/>
          <w:spacing w:val="-2"/>
          <w:szCs w:val="24"/>
        </w:rPr>
        <w:t>ommittee(s)</w:t>
      </w:r>
      <w:r w:rsidR="00AA6B38" w:rsidRPr="00AA6B38">
        <w:rPr>
          <w:rFonts w:ascii="Calibri" w:hAnsi="Calibri"/>
          <w:spacing w:val="-2"/>
          <w:szCs w:val="24"/>
        </w:rPr>
        <w:t xml:space="preserve"> </w:t>
      </w:r>
      <w:r w:rsidR="00AA6B38" w:rsidRPr="005459DB">
        <w:rPr>
          <w:rFonts w:ascii="Calibri" w:hAnsi="Calibri"/>
          <w:spacing w:val="-2"/>
          <w:szCs w:val="24"/>
        </w:rPr>
        <w:t xml:space="preserve">and/or </w:t>
      </w:r>
      <w:r w:rsidR="00AA6B38">
        <w:rPr>
          <w:rFonts w:ascii="Calibri" w:hAnsi="Calibri"/>
          <w:spacing w:val="-2"/>
          <w:szCs w:val="24"/>
        </w:rPr>
        <w:t>C</w:t>
      </w:r>
      <w:r w:rsidRPr="005459DB">
        <w:rPr>
          <w:rFonts w:ascii="Calibri" w:hAnsi="Calibri"/>
          <w:spacing w:val="-2"/>
          <w:szCs w:val="24"/>
        </w:rPr>
        <w:t>ouncil(s)</w:t>
      </w:r>
      <w:r w:rsidR="00AA6B38">
        <w:rPr>
          <w:rFonts w:ascii="Calibri" w:hAnsi="Calibri"/>
          <w:spacing w:val="-2"/>
          <w:szCs w:val="24"/>
        </w:rPr>
        <w:t xml:space="preserve"> </w:t>
      </w:r>
      <w:r>
        <w:rPr>
          <w:rFonts w:ascii="Calibri" w:hAnsi="Calibri"/>
          <w:spacing w:val="-2"/>
          <w:szCs w:val="24"/>
        </w:rPr>
        <w:t xml:space="preserve">– and any other organization – that </w:t>
      </w:r>
      <w:r w:rsidRPr="005459DB">
        <w:rPr>
          <w:rFonts w:ascii="Calibri" w:hAnsi="Calibri"/>
          <w:spacing w:val="-2"/>
          <w:szCs w:val="24"/>
        </w:rPr>
        <w:t>might be interested in the research results and could</w:t>
      </w:r>
      <w:r>
        <w:rPr>
          <w:rFonts w:ascii="Calibri" w:hAnsi="Calibri"/>
          <w:spacing w:val="-2"/>
          <w:szCs w:val="24"/>
        </w:rPr>
        <w:t xml:space="preserve"> help</w:t>
      </w:r>
      <w:r w:rsidRPr="005459DB">
        <w:rPr>
          <w:rFonts w:ascii="Calibri" w:hAnsi="Calibri"/>
          <w:spacing w:val="-2"/>
          <w:szCs w:val="24"/>
        </w:rPr>
        <w:t xml:space="preserve"> support implementation.</w:t>
      </w:r>
    </w:p>
    <w:p w14:paraId="1019BF4B" w14:textId="04AB9F40" w:rsidR="00D74718" w:rsidRPr="00012EDA" w:rsidRDefault="00D74718" w:rsidP="00232C72">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AASHTO Committee on Materials and Pavements (COMP)</w:t>
      </w:r>
    </w:p>
    <w:p w14:paraId="0C30F2DE" w14:textId="0BA18C77" w:rsidR="006F1F8E" w:rsidRPr="00012EDA" w:rsidRDefault="00D74718" w:rsidP="00232C72">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AASHTO Committee on Traffic Engineering (CTE)</w:t>
      </w:r>
    </w:p>
    <w:p w14:paraId="7B4474CE" w14:textId="28648A3D" w:rsidR="00D74718" w:rsidRPr="00012EDA" w:rsidRDefault="00D74718" w:rsidP="00232C72">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AASHTO Committee on Transportation System Operations (CTSO)</w:t>
      </w:r>
    </w:p>
    <w:p w14:paraId="5A977695" w14:textId="14A97745" w:rsidR="00D74718" w:rsidRPr="00012EDA" w:rsidRDefault="00D74718" w:rsidP="00D74718">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American Traffic Safety Services Association (ATSSA)</w:t>
      </w:r>
    </w:p>
    <w:p w14:paraId="44515F9E" w14:textId="1A0586A8" w:rsidR="00D74718" w:rsidRPr="00012EDA" w:rsidRDefault="00D74718" w:rsidP="00D74718">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Illuminating Engineering Society of North America (IESNA)</w:t>
      </w:r>
    </w:p>
    <w:p w14:paraId="603FD5FE" w14:textId="6554607D" w:rsidR="00D74718" w:rsidRPr="00012EDA" w:rsidRDefault="00D74718" w:rsidP="00232C72">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International Commission on Illumination (CIE)</w:t>
      </w:r>
    </w:p>
    <w:p w14:paraId="768954AD" w14:textId="303417F9" w:rsidR="00D74718" w:rsidRPr="00012EDA" w:rsidRDefault="00D74718" w:rsidP="00232C72">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International Municipal Signal Association (IMSA)</w:t>
      </w:r>
    </w:p>
    <w:p w14:paraId="6D4BEBFF" w14:textId="77777777" w:rsidR="00D74718" w:rsidRPr="00012EDA" w:rsidRDefault="00D74718" w:rsidP="00D74718">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Institute of Transportation Engineers (ITE)</w:t>
      </w:r>
    </w:p>
    <w:p w14:paraId="330C07EB" w14:textId="6973588B" w:rsidR="00D74718" w:rsidRPr="00012EDA" w:rsidRDefault="00D74718" w:rsidP="00232C72">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National Committee on Uniform Traffic Control Devices</w:t>
      </w:r>
      <w:r w:rsidR="00BD5346">
        <w:rPr>
          <w:rFonts w:ascii="Calibri" w:hAnsi="Calibri"/>
          <w:i/>
          <w:iCs/>
          <w:color w:val="000000" w:themeColor="text1"/>
          <w:sz w:val="22"/>
          <w:szCs w:val="22"/>
        </w:rPr>
        <w:t xml:space="preserve"> (NCUTCD)</w:t>
      </w:r>
    </w:p>
    <w:p w14:paraId="42292E1F" w14:textId="5BC87DD5" w:rsidR="00D74718" w:rsidRPr="00012EDA" w:rsidRDefault="00D74718" w:rsidP="00232C72">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National Electrical Manufacturers Association (NEMA)</w:t>
      </w:r>
    </w:p>
    <w:p w14:paraId="04F82C3E" w14:textId="58532D5B" w:rsidR="00D74718" w:rsidRPr="00012EDA" w:rsidRDefault="00D74718" w:rsidP="00232C72">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Society of Automotive Engineers (SAE)</w:t>
      </w:r>
    </w:p>
    <w:p w14:paraId="67C27410" w14:textId="63665F58" w:rsidR="00BD5346" w:rsidRPr="00BD5346" w:rsidRDefault="00D74718" w:rsidP="00BD5346">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USDOT, Federal Highway Administration</w:t>
      </w:r>
      <w:r w:rsidR="00BD5346">
        <w:rPr>
          <w:rFonts w:ascii="Calibri" w:hAnsi="Calibri"/>
          <w:i/>
          <w:iCs/>
          <w:color w:val="000000" w:themeColor="text1"/>
          <w:sz w:val="22"/>
          <w:szCs w:val="22"/>
        </w:rPr>
        <w:t xml:space="preserve"> (FHWA)</w:t>
      </w:r>
    </w:p>
    <w:p w14:paraId="1B5C90BA" w14:textId="65A04DC2" w:rsidR="00D74718" w:rsidRPr="00012EDA" w:rsidRDefault="00D74718" w:rsidP="00232C72">
      <w:pPr>
        <w:numPr>
          <w:ilvl w:val="0"/>
          <w:numId w:val="11"/>
        </w:numPr>
        <w:ind w:left="1080"/>
        <w:contextualSpacing/>
        <w:rPr>
          <w:rFonts w:ascii="Calibri" w:hAnsi="Calibri"/>
          <w:i/>
          <w:iCs/>
          <w:color w:val="000000" w:themeColor="text1"/>
          <w:sz w:val="22"/>
          <w:szCs w:val="22"/>
        </w:rPr>
      </w:pPr>
      <w:r w:rsidRPr="00012EDA">
        <w:rPr>
          <w:rFonts w:ascii="Calibri" w:hAnsi="Calibri"/>
          <w:i/>
          <w:iCs/>
          <w:color w:val="000000" w:themeColor="text1"/>
          <w:sz w:val="22"/>
          <w:szCs w:val="22"/>
        </w:rPr>
        <w:t xml:space="preserve">USDOT, </w:t>
      </w:r>
      <w:r w:rsidR="00DA2EE1">
        <w:rPr>
          <w:rFonts w:ascii="Calibri" w:hAnsi="Calibri"/>
          <w:i/>
          <w:iCs/>
          <w:color w:val="000000" w:themeColor="text1"/>
          <w:sz w:val="22"/>
          <w:szCs w:val="22"/>
        </w:rPr>
        <w:t>National Highway Traffic Safety Administration (</w:t>
      </w:r>
      <w:r w:rsidRPr="00012EDA">
        <w:rPr>
          <w:rFonts w:ascii="Calibri" w:hAnsi="Calibri"/>
          <w:i/>
          <w:iCs/>
          <w:color w:val="000000" w:themeColor="text1"/>
          <w:sz w:val="22"/>
          <w:szCs w:val="22"/>
        </w:rPr>
        <w:t>NHTSA</w:t>
      </w:r>
      <w:r w:rsidR="001F58A8">
        <w:rPr>
          <w:rFonts w:ascii="Calibri" w:hAnsi="Calibri"/>
          <w:i/>
          <w:iCs/>
          <w:color w:val="000000" w:themeColor="text1"/>
          <w:sz w:val="22"/>
          <w:szCs w:val="22"/>
        </w:rPr>
        <w:t>)</w:t>
      </w:r>
    </w:p>
    <w:p w14:paraId="4CE1EA24" w14:textId="77777777" w:rsidR="004D51BD" w:rsidRPr="005459DB" w:rsidRDefault="004D51BD" w:rsidP="00232C72">
      <w:pPr>
        <w:contextualSpacing/>
        <w:rPr>
          <w:rFonts w:ascii="Calibri" w:hAnsi="Calibri"/>
          <w:color w:val="000000" w:themeColor="text1"/>
          <w:szCs w:val="24"/>
        </w:rPr>
      </w:pPr>
    </w:p>
    <w:p w14:paraId="11E04976" w14:textId="77777777" w:rsidR="00354613" w:rsidRPr="005459DB" w:rsidRDefault="0068652F" w:rsidP="00232C72">
      <w:pPr>
        <w:suppressAutoHyphens/>
        <w:contextualSpacing/>
        <w:rPr>
          <w:rFonts w:ascii="Calibri" w:hAnsi="Calibri"/>
          <w:b/>
          <w:color w:val="000000" w:themeColor="text1"/>
          <w:spacing w:val="-2"/>
          <w:szCs w:val="24"/>
        </w:rPr>
      </w:pPr>
      <w:r>
        <w:rPr>
          <w:rFonts w:ascii="Calibri" w:hAnsi="Calibri"/>
          <w:b/>
          <w:color w:val="000000" w:themeColor="text1"/>
          <w:spacing w:val="-2"/>
          <w:szCs w:val="24"/>
        </w:rPr>
        <w:t>7</w:t>
      </w:r>
      <w:r w:rsidR="00354613" w:rsidRPr="005459DB">
        <w:rPr>
          <w:rFonts w:ascii="Calibri" w:hAnsi="Calibri"/>
          <w:b/>
          <w:color w:val="000000" w:themeColor="text1"/>
          <w:spacing w:val="-2"/>
          <w:szCs w:val="24"/>
        </w:rPr>
        <w:t>.</w:t>
      </w:r>
      <w:r w:rsidR="005459DB" w:rsidRPr="005459DB">
        <w:rPr>
          <w:rFonts w:ascii="Calibri" w:hAnsi="Calibri"/>
          <w:b/>
          <w:color w:val="000000" w:themeColor="text1"/>
          <w:spacing w:val="-2"/>
          <w:szCs w:val="24"/>
        </w:rPr>
        <w:tab/>
      </w:r>
      <w:r w:rsidR="003E0C9F" w:rsidRPr="005459DB">
        <w:rPr>
          <w:rFonts w:ascii="Calibri" w:hAnsi="Calibri"/>
          <w:b/>
          <w:color w:val="000000" w:themeColor="text1"/>
          <w:spacing w:val="-2"/>
          <w:szCs w:val="24"/>
        </w:rPr>
        <w:t xml:space="preserve">Recommended Research </w:t>
      </w:r>
      <w:r w:rsidR="005B258D" w:rsidRPr="005459DB">
        <w:rPr>
          <w:rFonts w:ascii="Calibri" w:hAnsi="Calibri"/>
          <w:b/>
          <w:color w:val="000000" w:themeColor="text1"/>
          <w:spacing w:val="-2"/>
          <w:szCs w:val="24"/>
        </w:rPr>
        <w:t>Fundin</w:t>
      </w:r>
      <w:r w:rsidR="00B67100" w:rsidRPr="005459DB">
        <w:rPr>
          <w:rFonts w:ascii="Calibri" w:hAnsi="Calibri"/>
          <w:b/>
          <w:color w:val="000000" w:themeColor="text1"/>
          <w:spacing w:val="-2"/>
          <w:szCs w:val="24"/>
        </w:rPr>
        <w:t>g</w:t>
      </w:r>
      <w:r w:rsidR="003E0C9F" w:rsidRPr="005459DB">
        <w:rPr>
          <w:rFonts w:ascii="Calibri" w:hAnsi="Calibri"/>
          <w:b/>
          <w:color w:val="000000" w:themeColor="text1"/>
          <w:spacing w:val="-2"/>
          <w:szCs w:val="24"/>
        </w:rPr>
        <w:t xml:space="preserve"> </w:t>
      </w:r>
      <w:r w:rsidR="00540BDC" w:rsidRPr="005459DB">
        <w:rPr>
          <w:rFonts w:ascii="Calibri" w:hAnsi="Calibri"/>
          <w:b/>
          <w:color w:val="000000" w:themeColor="text1"/>
          <w:spacing w:val="-2"/>
          <w:szCs w:val="24"/>
        </w:rPr>
        <w:t>and Research Period</w:t>
      </w:r>
    </w:p>
    <w:p w14:paraId="04B80FAD" w14:textId="484F292A" w:rsidR="000F0323" w:rsidRPr="00D74718" w:rsidRDefault="000F0323" w:rsidP="000F0323">
      <w:pPr>
        <w:ind w:left="720"/>
        <w:rPr>
          <w:rFonts w:asciiTheme="minorHAnsi" w:hAnsiTheme="minorHAnsi" w:cstheme="minorHAnsi"/>
          <w:i/>
          <w:iCs/>
          <w:sz w:val="22"/>
          <w:szCs w:val="22"/>
        </w:rPr>
      </w:pPr>
      <w:bookmarkStart w:id="0" w:name="_GoBack"/>
      <w:bookmarkEnd w:id="0"/>
      <w:r w:rsidRPr="00D74718">
        <w:rPr>
          <w:rFonts w:asciiTheme="minorHAnsi" w:hAnsiTheme="minorHAnsi" w:cstheme="minorHAnsi"/>
          <w:i/>
          <w:iCs/>
          <w:sz w:val="22"/>
          <w:szCs w:val="22"/>
        </w:rPr>
        <w:t>It is estimated that this project, at an accelerated pace, can be completed at a cost of $2</w:t>
      </w:r>
      <w:r w:rsidR="00D74718" w:rsidRPr="00D74718">
        <w:rPr>
          <w:rFonts w:asciiTheme="minorHAnsi" w:hAnsiTheme="minorHAnsi" w:cstheme="minorHAnsi"/>
          <w:i/>
          <w:iCs/>
          <w:sz w:val="22"/>
          <w:szCs w:val="22"/>
        </w:rPr>
        <w:t>5</w:t>
      </w:r>
      <w:r w:rsidRPr="00D74718">
        <w:rPr>
          <w:rFonts w:asciiTheme="minorHAnsi" w:hAnsiTheme="minorHAnsi" w:cstheme="minorHAnsi"/>
          <w:i/>
          <w:iCs/>
          <w:sz w:val="22"/>
          <w:szCs w:val="22"/>
        </w:rPr>
        <w:t xml:space="preserve">0,000 if the </w:t>
      </w:r>
      <w:r w:rsidR="00D74718" w:rsidRPr="00D74718">
        <w:rPr>
          <w:rFonts w:asciiTheme="minorHAnsi" w:hAnsiTheme="minorHAnsi" w:cstheme="minorHAnsi"/>
          <w:i/>
          <w:iCs/>
          <w:sz w:val="22"/>
          <w:szCs w:val="22"/>
        </w:rPr>
        <w:t xml:space="preserve">compatibility </w:t>
      </w:r>
      <w:r w:rsidRPr="00D74718">
        <w:rPr>
          <w:rFonts w:asciiTheme="minorHAnsi" w:hAnsiTheme="minorHAnsi" w:cstheme="minorHAnsi"/>
          <w:i/>
          <w:iCs/>
          <w:sz w:val="22"/>
          <w:szCs w:val="22"/>
        </w:rPr>
        <w:t xml:space="preserve">issue can be resolved based on </w:t>
      </w:r>
      <w:r w:rsidR="00D74718" w:rsidRPr="00D74718">
        <w:rPr>
          <w:rFonts w:asciiTheme="minorHAnsi" w:hAnsiTheme="minorHAnsi" w:cstheme="minorHAnsi"/>
          <w:i/>
          <w:iCs/>
          <w:sz w:val="22"/>
          <w:szCs w:val="22"/>
        </w:rPr>
        <w:t xml:space="preserve">the </w:t>
      </w:r>
      <w:r w:rsidRPr="00D74718">
        <w:rPr>
          <w:rFonts w:asciiTheme="minorHAnsi" w:hAnsiTheme="minorHAnsi" w:cstheme="minorHAnsi"/>
          <w:i/>
          <w:iCs/>
          <w:sz w:val="22"/>
          <w:szCs w:val="22"/>
        </w:rPr>
        <w:t xml:space="preserve">gathering of available information.  The accelerated pace would facilitate contribution to industry standards already under review and scheduled for updating as well as presentation of proposed outcomes during the January 2022 industry forums such as the TRB annual meeting, NCUTCD Winter Meeting and ATSSA Expo.  </w:t>
      </w:r>
      <w:r w:rsidR="00D74718" w:rsidRPr="00D74718">
        <w:rPr>
          <w:rFonts w:asciiTheme="minorHAnsi" w:hAnsiTheme="minorHAnsi" w:cstheme="minorHAnsi"/>
          <w:i/>
          <w:iCs/>
          <w:sz w:val="22"/>
          <w:szCs w:val="22"/>
        </w:rPr>
        <w:t xml:space="preserve">Data collection, solution and documentation should be completed in 12 months with outreach occurring over the next 6 months.  </w:t>
      </w:r>
      <w:r w:rsidRPr="00D74718">
        <w:rPr>
          <w:rFonts w:asciiTheme="minorHAnsi" w:hAnsiTheme="minorHAnsi" w:cstheme="minorHAnsi"/>
          <w:i/>
          <w:iCs/>
          <w:sz w:val="22"/>
          <w:szCs w:val="22"/>
        </w:rPr>
        <w:t>Additional funding ($200,000) and time (12 months) may be required if a Phase II work plan for laboratory testing and proof of concept is required to create a solution.</w:t>
      </w:r>
    </w:p>
    <w:p w14:paraId="10CEF7CE" w14:textId="77777777" w:rsidR="00354613" w:rsidRPr="005459DB" w:rsidRDefault="00354613" w:rsidP="003416F5">
      <w:pPr>
        <w:suppressAutoHyphens/>
        <w:ind w:left="720"/>
        <w:contextualSpacing/>
        <w:rPr>
          <w:rFonts w:ascii="Calibri" w:hAnsi="Calibri"/>
          <w:spacing w:val="-2"/>
          <w:szCs w:val="24"/>
        </w:rPr>
      </w:pPr>
    </w:p>
    <w:p w14:paraId="6F05521B" w14:textId="77777777" w:rsidR="00354613" w:rsidRPr="005459DB" w:rsidRDefault="005A7353" w:rsidP="00232C72">
      <w:pPr>
        <w:keepNext/>
        <w:suppressAutoHyphens/>
        <w:contextualSpacing/>
        <w:rPr>
          <w:rFonts w:ascii="Calibri" w:hAnsi="Calibri"/>
          <w:spacing w:val="-2"/>
          <w:szCs w:val="24"/>
        </w:rPr>
      </w:pPr>
      <w:r w:rsidRPr="005459DB">
        <w:rPr>
          <w:rFonts w:ascii="Calibri" w:hAnsi="Calibri"/>
          <w:b/>
          <w:spacing w:val="-2"/>
          <w:szCs w:val="24"/>
        </w:rPr>
        <w:t>8</w:t>
      </w:r>
      <w:r w:rsidR="00627251" w:rsidRPr="005459DB">
        <w:rPr>
          <w:rFonts w:ascii="Calibri" w:hAnsi="Calibri"/>
          <w:b/>
          <w:spacing w:val="-2"/>
          <w:szCs w:val="24"/>
        </w:rPr>
        <w:t>.</w:t>
      </w:r>
      <w:r w:rsidR="00627251" w:rsidRPr="005459DB">
        <w:rPr>
          <w:rFonts w:ascii="Calibri" w:hAnsi="Calibri"/>
          <w:b/>
          <w:spacing w:val="-2"/>
          <w:szCs w:val="24"/>
        </w:rPr>
        <w:tab/>
      </w:r>
      <w:r w:rsidR="00540BDC" w:rsidRPr="005459DB">
        <w:rPr>
          <w:rFonts w:ascii="Calibri" w:hAnsi="Calibri"/>
          <w:b/>
          <w:spacing w:val="-2"/>
          <w:szCs w:val="24"/>
        </w:rPr>
        <w:t>Problem Statement</w:t>
      </w:r>
      <w:r w:rsidR="00EB1BF8" w:rsidRPr="005459DB">
        <w:rPr>
          <w:rFonts w:ascii="Calibri" w:hAnsi="Calibri"/>
          <w:b/>
          <w:spacing w:val="-2"/>
          <w:szCs w:val="24"/>
        </w:rPr>
        <w:t xml:space="preserve"> Author(s)</w:t>
      </w:r>
    </w:p>
    <w:p w14:paraId="021CCA72" w14:textId="46187E1E" w:rsidR="007C4C57" w:rsidRPr="00012EDA" w:rsidRDefault="007C4C57" w:rsidP="007C4C57">
      <w:pPr>
        <w:ind w:left="720"/>
        <w:rPr>
          <w:rFonts w:asciiTheme="minorHAnsi" w:hAnsiTheme="minorHAnsi" w:cstheme="minorHAnsi"/>
          <w:i/>
          <w:iCs/>
          <w:sz w:val="22"/>
          <w:szCs w:val="22"/>
        </w:rPr>
      </w:pPr>
      <w:r w:rsidRPr="00012EDA">
        <w:rPr>
          <w:rFonts w:asciiTheme="minorHAnsi" w:hAnsiTheme="minorHAnsi" w:cstheme="minorHAnsi"/>
          <w:i/>
          <w:iCs/>
          <w:sz w:val="22"/>
          <w:szCs w:val="22"/>
        </w:rPr>
        <w:t>Members of the National Committee on Uniform Traffic Control Devices, Guide and Motorist Information (GMI) and Regulatory and Warning Signs (RWS) Technical Committees</w:t>
      </w:r>
      <w:r w:rsidR="00BD5346">
        <w:rPr>
          <w:rFonts w:asciiTheme="minorHAnsi" w:hAnsiTheme="minorHAnsi" w:cstheme="minorHAnsi"/>
          <w:i/>
          <w:iCs/>
          <w:sz w:val="22"/>
          <w:szCs w:val="22"/>
        </w:rPr>
        <w:t xml:space="preserve"> </w:t>
      </w:r>
      <w:r w:rsidRPr="00012EDA">
        <w:rPr>
          <w:rFonts w:asciiTheme="minorHAnsi" w:hAnsiTheme="minorHAnsi" w:cstheme="minorHAnsi"/>
          <w:i/>
          <w:iCs/>
          <w:sz w:val="22"/>
          <w:szCs w:val="22"/>
        </w:rPr>
        <w:t>(TC) Signs for Connected and Automated Vehicles (CAVs) Joint Task Force (JTF).</w:t>
      </w:r>
    </w:p>
    <w:p w14:paraId="258F257F" w14:textId="77777777" w:rsidR="007C4C57" w:rsidRPr="00012EDA" w:rsidRDefault="007C4C57" w:rsidP="00D74718">
      <w:pPr>
        <w:pStyle w:val="ListParagraph"/>
        <w:numPr>
          <w:ilvl w:val="0"/>
          <w:numId w:val="11"/>
        </w:numPr>
        <w:ind w:left="1080"/>
        <w:rPr>
          <w:rFonts w:asciiTheme="minorHAnsi" w:hAnsiTheme="minorHAnsi" w:cstheme="minorHAnsi"/>
          <w:i/>
          <w:iCs/>
          <w:sz w:val="22"/>
          <w:szCs w:val="22"/>
        </w:rPr>
      </w:pPr>
      <w:r w:rsidRPr="00012EDA">
        <w:rPr>
          <w:rFonts w:asciiTheme="minorHAnsi" w:hAnsiTheme="minorHAnsi" w:cstheme="minorHAnsi"/>
          <w:i/>
          <w:iCs/>
          <w:sz w:val="22"/>
          <w:szCs w:val="22"/>
        </w:rPr>
        <w:t xml:space="preserve">Roxane Y. Mukai, Operations Engineer, Maryland Transportation Authority, 410-537-8389, </w:t>
      </w:r>
      <w:hyperlink r:id="rId9">
        <w:r w:rsidRPr="00012EDA">
          <w:rPr>
            <w:rFonts w:asciiTheme="minorHAnsi" w:hAnsiTheme="minorHAnsi" w:cstheme="minorHAnsi"/>
            <w:i/>
            <w:iCs/>
            <w:color w:val="0000FF"/>
            <w:sz w:val="22"/>
            <w:szCs w:val="22"/>
            <w:u w:val="single"/>
          </w:rPr>
          <w:t>rmukai@mdta.state.md.us</w:t>
        </w:r>
      </w:hyperlink>
      <w:r w:rsidRPr="00012EDA">
        <w:rPr>
          <w:rFonts w:asciiTheme="minorHAnsi" w:hAnsiTheme="minorHAnsi" w:cstheme="minorHAnsi"/>
          <w:i/>
          <w:iCs/>
          <w:sz w:val="22"/>
          <w:szCs w:val="22"/>
        </w:rPr>
        <w:t xml:space="preserve">  (Co-Chair, NCUTCD GMITC and RWSTC CAV JTF)</w:t>
      </w:r>
    </w:p>
    <w:p w14:paraId="7F9E47CF" w14:textId="77777777" w:rsidR="007C4C57" w:rsidRPr="00012EDA" w:rsidRDefault="007C4C57" w:rsidP="00D74718">
      <w:pPr>
        <w:pStyle w:val="ListParagraph"/>
        <w:numPr>
          <w:ilvl w:val="0"/>
          <w:numId w:val="11"/>
        </w:numPr>
        <w:ind w:left="1080"/>
        <w:rPr>
          <w:rFonts w:asciiTheme="minorHAnsi" w:hAnsiTheme="minorHAnsi" w:cstheme="minorHAnsi"/>
          <w:i/>
          <w:iCs/>
          <w:sz w:val="22"/>
          <w:szCs w:val="22"/>
        </w:rPr>
      </w:pPr>
      <w:r w:rsidRPr="00012EDA">
        <w:rPr>
          <w:rFonts w:asciiTheme="minorHAnsi" w:hAnsiTheme="minorHAnsi" w:cstheme="minorHAnsi"/>
          <w:i/>
          <w:iCs/>
          <w:sz w:val="22"/>
          <w:szCs w:val="22"/>
        </w:rPr>
        <w:t xml:space="preserve">Paul Ciupa, AECOM, </w:t>
      </w:r>
      <w:hyperlink r:id="rId10">
        <w:r w:rsidRPr="00012EDA">
          <w:rPr>
            <w:rFonts w:asciiTheme="minorHAnsi" w:hAnsiTheme="minorHAnsi" w:cstheme="minorHAnsi"/>
            <w:i/>
            <w:iCs/>
            <w:color w:val="0000FF"/>
            <w:sz w:val="22"/>
            <w:szCs w:val="22"/>
            <w:u w:val="single"/>
          </w:rPr>
          <w:t>pciupa4800@gmail.com</w:t>
        </w:r>
      </w:hyperlink>
      <w:r w:rsidRPr="00012EDA">
        <w:rPr>
          <w:rFonts w:asciiTheme="minorHAnsi" w:hAnsiTheme="minorHAnsi" w:cstheme="minorHAnsi"/>
          <w:i/>
          <w:iCs/>
          <w:sz w:val="22"/>
          <w:szCs w:val="22"/>
        </w:rPr>
        <w:t>.  (Retired Cuyahoga County, NCUTCD IMSA delegate)</w:t>
      </w:r>
    </w:p>
    <w:p w14:paraId="7635DCC3" w14:textId="77777777" w:rsidR="007C4C57" w:rsidRPr="00012EDA" w:rsidRDefault="007C4C57" w:rsidP="00D74718">
      <w:pPr>
        <w:pStyle w:val="ListParagraph"/>
        <w:numPr>
          <w:ilvl w:val="0"/>
          <w:numId w:val="11"/>
        </w:numPr>
        <w:ind w:left="1080"/>
        <w:rPr>
          <w:rFonts w:asciiTheme="minorHAnsi" w:hAnsiTheme="minorHAnsi" w:cstheme="minorHAnsi"/>
          <w:i/>
          <w:iCs/>
          <w:sz w:val="22"/>
          <w:szCs w:val="22"/>
        </w:rPr>
      </w:pPr>
      <w:r w:rsidRPr="00012EDA">
        <w:rPr>
          <w:rFonts w:asciiTheme="minorHAnsi" w:hAnsiTheme="minorHAnsi" w:cstheme="minorHAnsi"/>
          <w:i/>
          <w:iCs/>
          <w:sz w:val="22"/>
          <w:szCs w:val="22"/>
        </w:rPr>
        <w:t xml:space="preserve">Jose Herrera-Alonso, Regulatory Affairs Specialist, 3M, 651-736-9648, </w:t>
      </w:r>
      <w:hyperlink r:id="rId11">
        <w:r w:rsidRPr="00012EDA">
          <w:rPr>
            <w:rFonts w:asciiTheme="minorHAnsi" w:hAnsiTheme="minorHAnsi" w:cstheme="minorHAnsi"/>
            <w:i/>
            <w:iCs/>
            <w:color w:val="0000FF"/>
            <w:sz w:val="22"/>
            <w:szCs w:val="22"/>
            <w:u w:val="single"/>
          </w:rPr>
          <w:t>jherreraalonso@mmm.com</w:t>
        </w:r>
      </w:hyperlink>
    </w:p>
    <w:p w14:paraId="0B631BC1" w14:textId="77777777" w:rsidR="007C4C57" w:rsidRPr="00012EDA" w:rsidRDefault="007C4C57" w:rsidP="00D74718">
      <w:pPr>
        <w:pStyle w:val="ListParagraph"/>
        <w:numPr>
          <w:ilvl w:val="0"/>
          <w:numId w:val="11"/>
        </w:numPr>
        <w:ind w:left="1080"/>
        <w:rPr>
          <w:rFonts w:asciiTheme="minorHAnsi" w:hAnsiTheme="minorHAnsi" w:cstheme="minorHAnsi"/>
          <w:i/>
          <w:iCs/>
          <w:sz w:val="22"/>
          <w:szCs w:val="22"/>
        </w:rPr>
      </w:pPr>
      <w:r w:rsidRPr="00012EDA">
        <w:rPr>
          <w:rFonts w:asciiTheme="minorHAnsi" w:hAnsiTheme="minorHAnsi" w:cstheme="minorHAnsi"/>
          <w:i/>
          <w:iCs/>
          <w:sz w:val="22"/>
          <w:szCs w:val="22"/>
        </w:rPr>
        <w:t xml:space="preserve">Joanne Conrad, Senior Regulatory Specialist, Tapco, 262-649-5200, </w:t>
      </w:r>
      <w:hyperlink r:id="rId12">
        <w:r w:rsidRPr="00012EDA">
          <w:rPr>
            <w:rFonts w:asciiTheme="minorHAnsi" w:hAnsiTheme="minorHAnsi" w:cstheme="minorHAnsi"/>
            <w:i/>
            <w:iCs/>
            <w:color w:val="0000FF"/>
            <w:sz w:val="22"/>
            <w:szCs w:val="22"/>
            <w:u w:val="single"/>
          </w:rPr>
          <w:t>joanne@tapconet.com</w:t>
        </w:r>
      </w:hyperlink>
      <w:r w:rsidRPr="00012EDA">
        <w:rPr>
          <w:rFonts w:asciiTheme="minorHAnsi" w:hAnsiTheme="minorHAnsi" w:cstheme="minorHAnsi"/>
          <w:i/>
          <w:iCs/>
          <w:sz w:val="22"/>
          <w:szCs w:val="22"/>
        </w:rPr>
        <w:t>.  (Vice Chair, ATSSA Sign Committee)</w:t>
      </w:r>
    </w:p>
    <w:p w14:paraId="742C78C7" w14:textId="77777777" w:rsidR="007C4C57" w:rsidRPr="00012EDA" w:rsidRDefault="007C4C57" w:rsidP="00D74718">
      <w:pPr>
        <w:pStyle w:val="ListParagraph"/>
        <w:numPr>
          <w:ilvl w:val="0"/>
          <w:numId w:val="11"/>
        </w:numPr>
        <w:ind w:left="1080"/>
        <w:rPr>
          <w:rFonts w:asciiTheme="minorHAnsi" w:hAnsiTheme="minorHAnsi" w:cstheme="minorHAnsi"/>
          <w:i/>
          <w:iCs/>
          <w:sz w:val="22"/>
          <w:szCs w:val="22"/>
        </w:rPr>
      </w:pPr>
      <w:r w:rsidRPr="00012EDA">
        <w:rPr>
          <w:rFonts w:asciiTheme="minorHAnsi" w:hAnsiTheme="minorHAnsi" w:cstheme="minorHAnsi"/>
          <w:i/>
          <w:iCs/>
          <w:sz w:val="22"/>
          <w:szCs w:val="22"/>
        </w:rPr>
        <w:t xml:space="preserve">John Hansen, Principal, 2ITSHelp, 719-330-4402, </w:t>
      </w:r>
      <w:hyperlink r:id="rId13">
        <w:r w:rsidRPr="00012EDA">
          <w:rPr>
            <w:rFonts w:asciiTheme="minorHAnsi" w:hAnsiTheme="minorHAnsi" w:cstheme="minorHAnsi"/>
            <w:i/>
            <w:iCs/>
            <w:color w:val="0000FF"/>
            <w:sz w:val="22"/>
            <w:szCs w:val="22"/>
            <w:u w:val="single"/>
          </w:rPr>
          <w:t>jhansen@2itshelp.com</w:t>
        </w:r>
      </w:hyperlink>
      <w:r w:rsidRPr="00012EDA">
        <w:rPr>
          <w:rFonts w:asciiTheme="minorHAnsi" w:hAnsiTheme="minorHAnsi" w:cstheme="minorHAnsi"/>
          <w:i/>
          <w:iCs/>
          <w:sz w:val="22"/>
          <w:szCs w:val="22"/>
        </w:rPr>
        <w:t>.  (NCUTCD ITE associate delegate)</w:t>
      </w:r>
    </w:p>
    <w:p w14:paraId="71B80AE1" w14:textId="77777777" w:rsidR="00CA5135" w:rsidRPr="005459DB" w:rsidRDefault="00CA5135" w:rsidP="003416F5">
      <w:pPr>
        <w:suppressAutoHyphens/>
        <w:ind w:left="720"/>
        <w:contextualSpacing/>
        <w:rPr>
          <w:rFonts w:ascii="Calibri" w:hAnsi="Calibri"/>
          <w:spacing w:val="-2"/>
          <w:szCs w:val="24"/>
        </w:rPr>
      </w:pPr>
    </w:p>
    <w:p w14:paraId="3C864868" w14:textId="77777777" w:rsidR="00EB1BF8" w:rsidRPr="005459DB" w:rsidRDefault="009D638D" w:rsidP="00232C72">
      <w:pPr>
        <w:numPr>
          <w:ilvl w:val="0"/>
          <w:numId w:val="18"/>
        </w:numPr>
        <w:suppressAutoHyphens/>
        <w:contextualSpacing/>
        <w:rPr>
          <w:rFonts w:ascii="Calibri" w:hAnsi="Calibri"/>
          <w:b/>
          <w:color w:val="000000"/>
          <w:spacing w:val="-2"/>
          <w:szCs w:val="24"/>
        </w:rPr>
      </w:pPr>
      <w:r w:rsidRPr="005459DB">
        <w:rPr>
          <w:rFonts w:ascii="Calibri" w:hAnsi="Calibri"/>
          <w:b/>
          <w:spacing w:val="-2"/>
          <w:szCs w:val="24"/>
        </w:rPr>
        <w:t xml:space="preserve">      </w:t>
      </w:r>
      <w:r w:rsidR="00EB1BF8" w:rsidRPr="005459DB">
        <w:rPr>
          <w:rFonts w:ascii="Calibri" w:hAnsi="Calibri"/>
          <w:b/>
          <w:color w:val="000000"/>
          <w:spacing w:val="-2"/>
          <w:szCs w:val="24"/>
        </w:rPr>
        <w:t xml:space="preserve"> Others Supporting the Problem Statement</w:t>
      </w:r>
    </w:p>
    <w:p w14:paraId="59A1D899" w14:textId="337F7241" w:rsidR="007C4C57" w:rsidRPr="00672638" w:rsidRDefault="007C4C57" w:rsidP="00232C72">
      <w:pPr>
        <w:numPr>
          <w:ilvl w:val="0"/>
          <w:numId w:val="19"/>
        </w:numPr>
        <w:suppressAutoHyphens/>
        <w:contextualSpacing/>
        <w:rPr>
          <w:rFonts w:ascii="Calibri" w:hAnsi="Calibri"/>
          <w:i/>
          <w:iCs/>
          <w:spacing w:val="-2"/>
          <w:sz w:val="22"/>
          <w:szCs w:val="22"/>
        </w:rPr>
      </w:pPr>
      <w:r w:rsidRPr="00672638">
        <w:rPr>
          <w:rFonts w:ascii="Calibri" w:hAnsi="Calibri"/>
          <w:i/>
          <w:iCs/>
          <w:spacing w:val="-2"/>
          <w:sz w:val="22"/>
          <w:szCs w:val="22"/>
        </w:rPr>
        <w:t>ATSSA</w:t>
      </w:r>
      <w:r w:rsidR="00672638">
        <w:rPr>
          <w:rFonts w:ascii="Calibri" w:hAnsi="Calibri"/>
          <w:i/>
          <w:iCs/>
          <w:spacing w:val="-2"/>
          <w:sz w:val="22"/>
          <w:szCs w:val="22"/>
        </w:rPr>
        <w:t xml:space="preserve"> Sign Committee</w:t>
      </w:r>
      <w:r w:rsidRPr="00672638">
        <w:rPr>
          <w:rFonts w:ascii="Calibri" w:hAnsi="Calibri"/>
          <w:i/>
          <w:iCs/>
          <w:spacing w:val="-2"/>
          <w:sz w:val="22"/>
          <w:szCs w:val="22"/>
        </w:rPr>
        <w:t>, Angel Ramos</w:t>
      </w:r>
      <w:r w:rsidR="00672638">
        <w:rPr>
          <w:rFonts w:ascii="Calibri" w:hAnsi="Calibri"/>
          <w:i/>
          <w:iCs/>
          <w:spacing w:val="-2"/>
          <w:sz w:val="22"/>
          <w:szCs w:val="22"/>
        </w:rPr>
        <w:t>(staff) and Joanne Conrad (Chair)</w:t>
      </w:r>
      <w:r w:rsidRPr="00672638">
        <w:rPr>
          <w:rFonts w:ascii="Calibri" w:hAnsi="Calibri"/>
          <w:i/>
          <w:iCs/>
          <w:spacing w:val="-2"/>
          <w:sz w:val="22"/>
          <w:szCs w:val="22"/>
        </w:rPr>
        <w:t xml:space="preserve">, 540-729-1951, </w:t>
      </w:r>
      <w:hyperlink r:id="rId14" w:history="1">
        <w:r w:rsidRPr="00672638">
          <w:rPr>
            <w:rStyle w:val="Hyperlink"/>
            <w:rFonts w:ascii="Calibri" w:hAnsi="Calibri"/>
            <w:i/>
            <w:iCs/>
            <w:spacing w:val="-2"/>
            <w:sz w:val="22"/>
            <w:szCs w:val="22"/>
          </w:rPr>
          <w:t>angel.ramos@atssa.com</w:t>
        </w:r>
      </w:hyperlink>
    </w:p>
    <w:p w14:paraId="44449F18" w14:textId="1DEF3361" w:rsidR="007C4C57" w:rsidRPr="00672638" w:rsidRDefault="007C4C57" w:rsidP="00232C72">
      <w:pPr>
        <w:numPr>
          <w:ilvl w:val="0"/>
          <w:numId w:val="19"/>
        </w:numPr>
        <w:suppressAutoHyphens/>
        <w:contextualSpacing/>
        <w:rPr>
          <w:rFonts w:ascii="Calibri" w:hAnsi="Calibri"/>
          <w:i/>
          <w:iCs/>
          <w:spacing w:val="-2"/>
          <w:sz w:val="22"/>
          <w:szCs w:val="22"/>
        </w:rPr>
      </w:pPr>
      <w:r w:rsidRPr="00672638">
        <w:rPr>
          <w:rFonts w:ascii="Calibri" w:hAnsi="Calibri"/>
          <w:i/>
          <w:iCs/>
          <w:spacing w:val="-2"/>
          <w:sz w:val="22"/>
          <w:szCs w:val="22"/>
        </w:rPr>
        <w:t xml:space="preserve">IMSA, </w:t>
      </w:r>
      <w:r w:rsidR="00672638" w:rsidRPr="00672638">
        <w:rPr>
          <w:rFonts w:ascii="Calibri" w:hAnsi="Calibri"/>
          <w:i/>
          <w:iCs/>
          <w:spacing w:val="-2"/>
          <w:sz w:val="22"/>
          <w:szCs w:val="22"/>
        </w:rPr>
        <w:t>Toby Cummings and Paul Ciupa</w:t>
      </w:r>
      <w:r w:rsidR="00F7759A">
        <w:rPr>
          <w:rFonts w:ascii="Calibri" w:hAnsi="Calibri"/>
          <w:i/>
          <w:iCs/>
          <w:spacing w:val="-2"/>
          <w:sz w:val="22"/>
          <w:szCs w:val="22"/>
        </w:rPr>
        <w:t xml:space="preserve"> (NCUTCD Delegate)</w:t>
      </w:r>
      <w:r w:rsidR="00672638" w:rsidRPr="00672638">
        <w:rPr>
          <w:rFonts w:ascii="Calibri" w:hAnsi="Calibri"/>
          <w:i/>
          <w:iCs/>
          <w:spacing w:val="-2"/>
          <w:sz w:val="22"/>
          <w:szCs w:val="22"/>
        </w:rPr>
        <w:t>, 321-349-3600, toby_cummings@imsasafety.org</w:t>
      </w:r>
    </w:p>
    <w:p w14:paraId="5E45D060" w14:textId="15750A4A" w:rsidR="007C4C57" w:rsidRDefault="007C4C57" w:rsidP="00232C72">
      <w:pPr>
        <w:numPr>
          <w:ilvl w:val="0"/>
          <w:numId w:val="19"/>
        </w:numPr>
        <w:suppressAutoHyphens/>
        <w:contextualSpacing/>
        <w:rPr>
          <w:rFonts w:ascii="Calibri" w:hAnsi="Calibri"/>
          <w:i/>
          <w:iCs/>
          <w:spacing w:val="-2"/>
          <w:sz w:val="22"/>
          <w:szCs w:val="22"/>
        </w:rPr>
      </w:pPr>
      <w:r w:rsidRPr="00672638">
        <w:rPr>
          <w:rFonts w:ascii="Calibri" w:hAnsi="Calibri"/>
          <w:i/>
          <w:iCs/>
          <w:spacing w:val="-2"/>
          <w:sz w:val="22"/>
          <w:szCs w:val="22"/>
        </w:rPr>
        <w:t>ITE</w:t>
      </w:r>
      <w:r w:rsidR="00BD5346">
        <w:rPr>
          <w:rFonts w:ascii="Calibri" w:hAnsi="Calibri"/>
          <w:i/>
          <w:iCs/>
          <w:spacing w:val="-2"/>
          <w:sz w:val="22"/>
          <w:szCs w:val="22"/>
        </w:rPr>
        <w:t xml:space="preserve"> President</w:t>
      </w:r>
      <w:r w:rsidRPr="00672638">
        <w:rPr>
          <w:rFonts w:ascii="Calibri" w:hAnsi="Calibri"/>
          <w:i/>
          <w:iCs/>
          <w:spacing w:val="-2"/>
          <w:sz w:val="22"/>
          <w:szCs w:val="22"/>
        </w:rPr>
        <w:t xml:space="preserve">, Ransford S. McCourt, 503-753-8996, </w:t>
      </w:r>
      <w:hyperlink r:id="rId15" w:history="1">
        <w:r w:rsidRPr="00672638">
          <w:rPr>
            <w:rStyle w:val="Hyperlink"/>
            <w:rFonts w:ascii="Calibri" w:hAnsi="Calibri"/>
            <w:i/>
            <w:iCs/>
            <w:spacing w:val="-2"/>
            <w:sz w:val="22"/>
            <w:szCs w:val="22"/>
          </w:rPr>
          <w:t>randy.mccourt@gmail.com</w:t>
        </w:r>
      </w:hyperlink>
    </w:p>
    <w:p w14:paraId="159ECAD5" w14:textId="4242E80C" w:rsidR="007C4C57" w:rsidRPr="00672638" w:rsidRDefault="007C4C57" w:rsidP="00232C72">
      <w:pPr>
        <w:numPr>
          <w:ilvl w:val="0"/>
          <w:numId w:val="19"/>
        </w:numPr>
        <w:suppressAutoHyphens/>
        <w:contextualSpacing/>
        <w:rPr>
          <w:rFonts w:ascii="Calibri" w:hAnsi="Calibri"/>
          <w:i/>
          <w:iCs/>
          <w:spacing w:val="-2"/>
          <w:sz w:val="22"/>
          <w:szCs w:val="22"/>
        </w:rPr>
      </w:pPr>
      <w:r w:rsidRPr="00672638">
        <w:rPr>
          <w:rFonts w:ascii="Calibri" w:hAnsi="Calibri"/>
          <w:i/>
          <w:iCs/>
          <w:spacing w:val="-2"/>
          <w:sz w:val="22"/>
          <w:szCs w:val="22"/>
        </w:rPr>
        <w:t xml:space="preserve">NEMA, Steve Griffith and </w:t>
      </w:r>
      <w:proofErr w:type="spellStart"/>
      <w:r w:rsidRPr="00672638">
        <w:rPr>
          <w:rFonts w:ascii="Calibri" w:hAnsi="Calibri"/>
          <w:i/>
          <w:iCs/>
          <w:spacing w:val="-2"/>
          <w:sz w:val="22"/>
          <w:szCs w:val="22"/>
        </w:rPr>
        <w:t>Kezhen</w:t>
      </w:r>
      <w:proofErr w:type="spellEnd"/>
      <w:r w:rsidRPr="00672638">
        <w:rPr>
          <w:rFonts w:ascii="Calibri" w:hAnsi="Calibri"/>
          <w:i/>
          <w:iCs/>
          <w:spacing w:val="-2"/>
          <w:sz w:val="22"/>
          <w:szCs w:val="22"/>
        </w:rPr>
        <w:t xml:space="preserve"> Shen</w:t>
      </w:r>
      <w:r w:rsidR="00672638" w:rsidRPr="00672638">
        <w:rPr>
          <w:rFonts w:ascii="Calibri" w:hAnsi="Calibri"/>
          <w:i/>
          <w:iCs/>
          <w:spacing w:val="-2"/>
          <w:sz w:val="22"/>
          <w:szCs w:val="22"/>
        </w:rPr>
        <w:t xml:space="preserve"> (TS-4 and TS-10)</w:t>
      </w:r>
      <w:r w:rsidRPr="00672638">
        <w:rPr>
          <w:rFonts w:ascii="Calibri" w:hAnsi="Calibri"/>
          <w:i/>
          <w:iCs/>
          <w:spacing w:val="-2"/>
          <w:sz w:val="22"/>
          <w:szCs w:val="22"/>
        </w:rPr>
        <w:t xml:space="preserve">, 703-841-3288, </w:t>
      </w:r>
      <w:hyperlink r:id="rId16" w:history="1">
        <w:r w:rsidRPr="00672638">
          <w:rPr>
            <w:rStyle w:val="Hyperlink"/>
            <w:rFonts w:ascii="Calibri" w:hAnsi="Calibri"/>
            <w:i/>
            <w:iCs/>
            <w:spacing w:val="-2"/>
            <w:sz w:val="22"/>
            <w:szCs w:val="22"/>
          </w:rPr>
          <w:t>kezhen.shen@nema.org</w:t>
        </w:r>
      </w:hyperlink>
    </w:p>
    <w:p w14:paraId="53395FC0" w14:textId="77777777" w:rsidR="00EB1BF8" w:rsidRPr="005459DB" w:rsidRDefault="00EB1BF8" w:rsidP="003416F5">
      <w:pPr>
        <w:suppressAutoHyphens/>
        <w:ind w:left="720"/>
        <w:contextualSpacing/>
        <w:rPr>
          <w:rFonts w:ascii="Calibri" w:hAnsi="Calibri"/>
          <w:spacing w:val="-2"/>
          <w:szCs w:val="24"/>
        </w:rPr>
      </w:pPr>
    </w:p>
    <w:p w14:paraId="5B1B274F" w14:textId="77777777" w:rsidR="00B257BD" w:rsidRDefault="00BA614B" w:rsidP="00232C72">
      <w:pPr>
        <w:numPr>
          <w:ilvl w:val="0"/>
          <w:numId w:val="18"/>
        </w:numPr>
        <w:suppressAutoHyphens/>
        <w:contextualSpacing/>
        <w:rPr>
          <w:rFonts w:ascii="Calibri" w:hAnsi="Calibri"/>
          <w:b/>
          <w:spacing w:val="-2"/>
          <w:szCs w:val="24"/>
        </w:rPr>
      </w:pPr>
      <w:r w:rsidRPr="006F1F8E">
        <w:rPr>
          <w:rFonts w:ascii="Calibri" w:hAnsi="Calibri"/>
          <w:b/>
          <w:spacing w:val="-2"/>
          <w:szCs w:val="24"/>
        </w:rPr>
        <w:t xml:space="preserve"> </w:t>
      </w:r>
      <w:r w:rsidR="00EB1BF8" w:rsidRPr="006F1F8E">
        <w:rPr>
          <w:rFonts w:ascii="Calibri" w:hAnsi="Calibri"/>
          <w:b/>
          <w:spacing w:val="-2"/>
          <w:szCs w:val="24"/>
        </w:rPr>
        <w:t xml:space="preserve">      </w:t>
      </w:r>
      <w:r w:rsidRPr="006F1F8E">
        <w:rPr>
          <w:rFonts w:ascii="Calibri" w:hAnsi="Calibri"/>
          <w:b/>
          <w:spacing w:val="-2"/>
          <w:szCs w:val="24"/>
        </w:rPr>
        <w:t>Potential</w:t>
      </w:r>
      <w:r w:rsidR="005B2C7E" w:rsidRPr="006F1F8E">
        <w:rPr>
          <w:rFonts w:ascii="Calibri" w:hAnsi="Calibri"/>
          <w:b/>
          <w:spacing w:val="-2"/>
          <w:szCs w:val="24"/>
        </w:rPr>
        <w:t xml:space="preserve"> Panel Members </w:t>
      </w:r>
    </w:p>
    <w:p w14:paraId="3BBFE461" w14:textId="77777777" w:rsidR="006F1F8E" w:rsidRPr="005459DB" w:rsidRDefault="006F1F8E" w:rsidP="00232C72">
      <w:pPr>
        <w:numPr>
          <w:ilvl w:val="0"/>
          <w:numId w:val="19"/>
        </w:numPr>
        <w:suppressAutoHyphens/>
        <w:contextualSpacing/>
        <w:rPr>
          <w:rFonts w:ascii="Calibri" w:hAnsi="Calibri"/>
          <w:spacing w:val="-2"/>
          <w:szCs w:val="24"/>
        </w:rPr>
      </w:pPr>
      <w:r w:rsidRPr="005459DB">
        <w:rPr>
          <w:rFonts w:ascii="Calibri" w:hAnsi="Calibri"/>
          <w:spacing w:val="-2"/>
          <w:szCs w:val="24"/>
        </w:rPr>
        <w:t>Organization, contact person, phone number and email address</w:t>
      </w:r>
    </w:p>
    <w:p w14:paraId="4BA93F8B" w14:textId="77777777" w:rsidR="006F1F8E" w:rsidRPr="006F1F8E" w:rsidRDefault="006F1F8E" w:rsidP="00232C72">
      <w:pPr>
        <w:suppressAutoHyphens/>
        <w:ind w:left="1080"/>
        <w:contextualSpacing/>
        <w:rPr>
          <w:rFonts w:ascii="Calibri" w:hAnsi="Calibri"/>
          <w:i/>
          <w:spacing w:val="-2"/>
          <w:szCs w:val="24"/>
          <w:u w:val="single"/>
        </w:rPr>
      </w:pPr>
    </w:p>
    <w:p w14:paraId="36F79D53" w14:textId="77777777" w:rsidR="00BA614B" w:rsidRPr="005459DB" w:rsidRDefault="00BA614B" w:rsidP="00232C72">
      <w:pPr>
        <w:suppressAutoHyphens/>
        <w:ind w:left="720"/>
        <w:contextualSpacing/>
        <w:rPr>
          <w:rFonts w:ascii="Calibri" w:hAnsi="Calibri"/>
          <w:spacing w:val="-2"/>
          <w:szCs w:val="24"/>
        </w:rPr>
      </w:pPr>
      <w:r w:rsidRPr="005459DB">
        <w:rPr>
          <w:rFonts w:ascii="Calibri" w:hAnsi="Calibri"/>
          <w:i/>
          <w:spacing w:val="-2"/>
          <w:szCs w:val="24"/>
          <w:u w:val="single"/>
        </w:rPr>
        <w:lastRenderedPageBreak/>
        <w:t xml:space="preserve">If this problem statement is submitted by an AASHTO </w:t>
      </w:r>
      <w:r w:rsidR="00FB7272">
        <w:rPr>
          <w:rFonts w:ascii="Calibri" w:hAnsi="Calibri"/>
          <w:i/>
          <w:spacing w:val="-2"/>
          <w:szCs w:val="24"/>
          <w:u w:val="single"/>
        </w:rPr>
        <w:t xml:space="preserve">Committee or Council, </w:t>
      </w:r>
      <w:r w:rsidRPr="005459DB">
        <w:rPr>
          <w:rFonts w:ascii="Calibri" w:hAnsi="Calibri"/>
          <w:spacing w:val="-2"/>
          <w:szCs w:val="24"/>
        </w:rPr>
        <w:t xml:space="preserve">please recommend </w:t>
      </w:r>
      <w:r w:rsidR="00FB7272" w:rsidRPr="005A74C1">
        <w:rPr>
          <w:rFonts w:ascii="Calibri" w:hAnsi="Calibri"/>
          <w:spacing w:val="-2"/>
          <w:szCs w:val="24"/>
        </w:rPr>
        <w:t>Committee</w:t>
      </w:r>
      <w:r w:rsidR="00FB7272">
        <w:rPr>
          <w:rFonts w:ascii="Calibri" w:hAnsi="Calibri"/>
          <w:spacing w:val="-2"/>
          <w:szCs w:val="24"/>
        </w:rPr>
        <w:t xml:space="preserve"> or</w:t>
      </w:r>
      <w:r w:rsidR="00FB7272" w:rsidRPr="005A74C1">
        <w:rPr>
          <w:rFonts w:ascii="Calibri" w:hAnsi="Calibri"/>
          <w:spacing w:val="-2"/>
          <w:szCs w:val="24"/>
        </w:rPr>
        <w:t xml:space="preserve"> </w:t>
      </w:r>
      <w:r w:rsidR="005A74C1" w:rsidRPr="005A74C1">
        <w:rPr>
          <w:rFonts w:ascii="Calibri" w:hAnsi="Calibri"/>
          <w:spacing w:val="-2"/>
          <w:szCs w:val="24"/>
        </w:rPr>
        <w:t xml:space="preserve">Council </w:t>
      </w:r>
      <w:r w:rsidRPr="005459DB">
        <w:rPr>
          <w:rFonts w:ascii="Calibri" w:hAnsi="Calibri"/>
          <w:spacing w:val="-2"/>
          <w:szCs w:val="24"/>
        </w:rPr>
        <w:t>members as potential panel members</w:t>
      </w:r>
      <w:r w:rsidR="006F1F8E">
        <w:rPr>
          <w:rFonts w:ascii="Calibri" w:hAnsi="Calibri"/>
          <w:spacing w:val="-2"/>
          <w:szCs w:val="24"/>
        </w:rPr>
        <w:t>.</w:t>
      </w:r>
    </w:p>
    <w:p w14:paraId="545B4D39" w14:textId="77777777" w:rsidR="00BA614B" w:rsidRPr="005459DB" w:rsidRDefault="00BA614B" w:rsidP="00232C72">
      <w:pPr>
        <w:numPr>
          <w:ilvl w:val="0"/>
          <w:numId w:val="19"/>
        </w:numPr>
        <w:suppressAutoHyphens/>
        <w:contextualSpacing/>
        <w:rPr>
          <w:rFonts w:ascii="Calibri" w:hAnsi="Calibri"/>
          <w:spacing w:val="-2"/>
          <w:szCs w:val="24"/>
        </w:rPr>
      </w:pPr>
      <w:r w:rsidRPr="005459DB">
        <w:rPr>
          <w:rFonts w:ascii="Calibri" w:hAnsi="Calibri"/>
          <w:spacing w:val="-2"/>
          <w:szCs w:val="24"/>
        </w:rPr>
        <w:t xml:space="preserve">Member name, state, AASHTO </w:t>
      </w:r>
      <w:r w:rsidR="00FB7272" w:rsidRPr="005A74C1">
        <w:rPr>
          <w:rFonts w:ascii="Calibri" w:hAnsi="Calibri"/>
          <w:spacing w:val="-2"/>
          <w:szCs w:val="24"/>
        </w:rPr>
        <w:t>Committee</w:t>
      </w:r>
      <w:r w:rsidR="00FB7272">
        <w:rPr>
          <w:rFonts w:ascii="Calibri" w:hAnsi="Calibri"/>
          <w:spacing w:val="-2"/>
          <w:szCs w:val="24"/>
        </w:rPr>
        <w:t xml:space="preserve"> or</w:t>
      </w:r>
      <w:r w:rsidR="00FB7272" w:rsidRPr="005A74C1">
        <w:rPr>
          <w:rFonts w:ascii="Calibri" w:hAnsi="Calibri"/>
          <w:spacing w:val="-2"/>
          <w:szCs w:val="24"/>
        </w:rPr>
        <w:t xml:space="preserve"> Council</w:t>
      </w:r>
      <w:r w:rsidRPr="005459DB">
        <w:rPr>
          <w:rFonts w:ascii="Calibri" w:hAnsi="Calibri"/>
          <w:spacing w:val="-2"/>
          <w:szCs w:val="24"/>
        </w:rPr>
        <w:t>, phone number and email address</w:t>
      </w:r>
    </w:p>
    <w:p w14:paraId="4DAE55E7" w14:textId="77777777" w:rsidR="00BA614B" w:rsidRPr="005459DB" w:rsidRDefault="00BA614B" w:rsidP="00232C72">
      <w:pPr>
        <w:suppressAutoHyphens/>
        <w:ind w:left="720"/>
        <w:contextualSpacing/>
        <w:rPr>
          <w:rFonts w:ascii="Calibri" w:hAnsi="Calibri"/>
          <w:spacing w:val="-2"/>
          <w:szCs w:val="24"/>
        </w:rPr>
      </w:pPr>
    </w:p>
    <w:p w14:paraId="342262B9" w14:textId="77777777" w:rsidR="00354613" w:rsidRPr="005459DB" w:rsidRDefault="005A7353" w:rsidP="00232C72">
      <w:pPr>
        <w:suppressAutoHyphens/>
        <w:contextualSpacing/>
        <w:rPr>
          <w:rFonts w:ascii="Calibri" w:hAnsi="Calibri"/>
          <w:b/>
          <w:spacing w:val="-2"/>
          <w:szCs w:val="24"/>
        </w:rPr>
      </w:pPr>
      <w:r w:rsidRPr="005459DB">
        <w:rPr>
          <w:rFonts w:ascii="Calibri" w:hAnsi="Calibri"/>
          <w:b/>
          <w:spacing w:val="-2"/>
          <w:szCs w:val="24"/>
        </w:rPr>
        <w:t>1</w:t>
      </w:r>
      <w:r w:rsidR="005459DB" w:rsidRPr="005459DB">
        <w:rPr>
          <w:rFonts w:ascii="Calibri" w:hAnsi="Calibri"/>
          <w:b/>
          <w:spacing w:val="-2"/>
          <w:szCs w:val="24"/>
        </w:rPr>
        <w:t>1</w:t>
      </w:r>
      <w:r w:rsidR="00354613" w:rsidRPr="005459DB">
        <w:rPr>
          <w:rFonts w:ascii="Calibri" w:hAnsi="Calibri"/>
          <w:b/>
          <w:spacing w:val="-2"/>
          <w:szCs w:val="24"/>
        </w:rPr>
        <w:t>.</w:t>
      </w:r>
      <w:r w:rsidR="00354613" w:rsidRPr="005459DB">
        <w:rPr>
          <w:rFonts w:ascii="Calibri" w:hAnsi="Calibri"/>
          <w:b/>
          <w:spacing w:val="-2"/>
          <w:szCs w:val="24"/>
        </w:rPr>
        <w:tab/>
      </w:r>
      <w:r w:rsidR="00FF5192" w:rsidRPr="005459DB">
        <w:rPr>
          <w:rFonts w:ascii="Calibri" w:hAnsi="Calibri"/>
          <w:b/>
          <w:spacing w:val="-2"/>
          <w:szCs w:val="24"/>
        </w:rPr>
        <w:t xml:space="preserve">Person </w:t>
      </w:r>
      <w:r w:rsidR="00540BDC" w:rsidRPr="005459DB">
        <w:rPr>
          <w:rFonts w:ascii="Calibri" w:hAnsi="Calibri"/>
          <w:b/>
          <w:spacing w:val="-2"/>
          <w:szCs w:val="24"/>
        </w:rPr>
        <w:t>Submitt</w:t>
      </w:r>
      <w:r w:rsidR="00FF5192" w:rsidRPr="005459DB">
        <w:rPr>
          <w:rFonts w:ascii="Calibri" w:hAnsi="Calibri"/>
          <w:b/>
          <w:spacing w:val="-2"/>
          <w:szCs w:val="24"/>
        </w:rPr>
        <w:t>ing the Problem Statement</w:t>
      </w:r>
    </w:p>
    <w:p w14:paraId="26322AF3" w14:textId="77777777" w:rsidR="008456BB" w:rsidRPr="005459DB" w:rsidRDefault="00E66BF2" w:rsidP="00232C72">
      <w:pPr>
        <w:suppressAutoHyphens/>
        <w:ind w:left="720"/>
        <w:contextualSpacing/>
        <w:rPr>
          <w:rFonts w:ascii="Calibri" w:hAnsi="Calibri"/>
          <w:spacing w:val="-2"/>
          <w:szCs w:val="24"/>
        </w:rPr>
      </w:pPr>
      <w:r w:rsidRPr="005459DB">
        <w:rPr>
          <w:rFonts w:ascii="Calibri" w:hAnsi="Calibri"/>
          <w:spacing w:val="-2"/>
          <w:szCs w:val="24"/>
        </w:rPr>
        <w:t>Provide co</w:t>
      </w:r>
      <w:r w:rsidR="00774640" w:rsidRPr="005459DB">
        <w:rPr>
          <w:rFonts w:ascii="Calibri" w:hAnsi="Calibri"/>
          <w:spacing w:val="-2"/>
          <w:szCs w:val="24"/>
        </w:rPr>
        <w:t xml:space="preserve">ntact information for </w:t>
      </w:r>
      <w:r w:rsidR="00FF5192" w:rsidRPr="005459DB">
        <w:rPr>
          <w:rFonts w:ascii="Calibri" w:hAnsi="Calibri"/>
          <w:spacing w:val="-2"/>
          <w:szCs w:val="24"/>
        </w:rPr>
        <w:t xml:space="preserve">the </w:t>
      </w:r>
      <w:r w:rsidR="00774640" w:rsidRPr="005459DB">
        <w:rPr>
          <w:rFonts w:ascii="Calibri" w:hAnsi="Calibri"/>
          <w:spacing w:val="-2"/>
          <w:szCs w:val="24"/>
        </w:rPr>
        <w:t>individual submitting this problem statement</w:t>
      </w:r>
      <w:r w:rsidR="00354613" w:rsidRPr="005459DB">
        <w:rPr>
          <w:rFonts w:ascii="Calibri" w:hAnsi="Calibri"/>
          <w:spacing w:val="-2"/>
          <w:szCs w:val="24"/>
        </w:rPr>
        <w:t>.</w:t>
      </w:r>
      <w:r w:rsidR="00B74CB8" w:rsidRPr="005459DB">
        <w:rPr>
          <w:rFonts w:ascii="Calibri" w:hAnsi="Calibri"/>
          <w:spacing w:val="-2"/>
          <w:szCs w:val="24"/>
        </w:rPr>
        <w:t xml:space="preserve">  </w:t>
      </w:r>
    </w:p>
    <w:p w14:paraId="6DA67AA6" w14:textId="77777777" w:rsidR="008456BB" w:rsidRPr="005459DB" w:rsidRDefault="008456BB" w:rsidP="00232C72">
      <w:pPr>
        <w:numPr>
          <w:ilvl w:val="0"/>
          <w:numId w:val="16"/>
        </w:numPr>
        <w:suppressAutoHyphens/>
        <w:contextualSpacing/>
        <w:rPr>
          <w:rFonts w:ascii="Calibri" w:hAnsi="Calibri"/>
          <w:spacing w:val="-2"/>
          <w:szCs w:val="24"/>
        </w:rPr>
      </w:pPr>
      <w:r w:rsidRPr="005459DB">
        <w:rPr>
          <w:rFonts w:ascii="Calibri" w:hAnsi="Calibri"/>
          <w:spacing w:val="-2"/>
          <w:szCs w:val="24"/>
        </w:rPr>
        <w:t>Name of individual</w:t>
      </w:r>
    </w:p>
    <w:p w14:paraId="26BC325C" w14:textId="77777777" w:rsidR="009055A6" w:rsidRPr="005459DB" w:rsidRDefault="009055A6" w:rsidP="00232C72">
      <w:pPr>
        <w:numPr>
          <w:ilvl w:val="0"/>
          <w:numId w:val="16"/>
        </w:numPr>
        <w:suppressAutoHyphens/>
        <w:contextualSpacing/>
        <w:rPr>
          <w:rFonts w:ascii="Calibri" w:hAnsi="Calibri"/>
          <w:spacing w:val="-2"/>
          <w:szCs w:val="24"/>
        </w:rPr>
      </w:pPr>
      <w:r w:rsidRPr="005459DB">
        <w:rPr>
          <w:rFonts w:ascii="Calibri" w:hAnsi="Calibri"/>
          <w:spacing w:val="-2"/>
          <w:szCs w:val="24"/>
        </w:rPr>
        <w:t>Phone number</w:t>
      </w:r>
    </w:p>
    <w:p w14:paraId="1CE4B73C" w14:textId="77777777" w:rsidR="009055A6" w:rsidRPr="005459DB" w:rsidRDefault="009055A6" w:rsidP="00232C72">
      <w:pPr>
        <w:numPr>
          <w:ilvl w:val="0"/>
          <w:numId w:val="16"/>
        </w:numPr>
        <w:suppressAutoHyphens/>
        <w:contextualSpacing/>
        <w:rPr>
          <w:rFonts w:ascii="Calibri" w:hAnsi="Calibri"/>
          <w:spacing w:val="-2"/>
          <w:szCs w:val="24"/>
        </w:rPr>
      </w:pPr>
      <w:r w:rsidRPr="005459DB">
        <w:rPr>
          <w:rFonts w:ascii="Calibri" w:hAnsi="Calibri"/>
          <w:spacing w:val="-2"/>
          <w:szCs w:val="24"/>
        </w:rPr>
        <w:t>Email address</w:t>
      </w:r>
    </w:p>
    <w:p w14:paraId="0D563B09" w14:textId="77777777" w:rsidR="008456BB" w:rsidRPr="006F1F8E" w:rsidRDefault="008456BB" w:rsidP="00232C72">
      <w:pPr>
        <w:numPr>
          <w:ilvl w:val="0"/>
          <w:numId w:val="16"/>
        </w:numPr>
        <w:suppressAutoHyphens/>
        <w:contextualSpacing/>
        <w:rPr>
          <w:rFonts w:ascii="Calibri" w:hAnsi="Calibri"/>
          <w:spacing w:val="-2"/>
          <w:szCs w:val="24"/>
        </w:rPr>
      </w:pPr>
      <w:r w:rsidRPr="006F1F8E">
        <w:rPr>
          <w:rFonts w:ascii="Calibri" w:hAnsi="Calibri"/>
          <w:spacing w:val="-2"/>
          <w:szCs w:val="24"/>
        </w:rPr>
        <w:t>Affiliation</w:t>
      </w:r>
      <w:r w:rsidR="005B2C7E" w:rsidRPr="006F1F8E">
        <w:rPr>
          <w:rFonts w:ascii="Calibri" w:hAnsi="Calibri"/>
          <w:spacing w:val="-2"/>
          <w:szCs w:val="24"/>
        </w:rPr>
        <w:t xml:space="preserve"> (limited to)</w:t>
      </w:r>
      <w:r w:rsidR="006F1F8E">
        <w:rPr>
          <w:rFonts w:ascii="Calibri" w:hAnsi="Calibri"/>
          <w:spacing w:val="-2"/>
          <w:szCs w:val="24"/>
        </w:rPr>
        <w:t>:</w:t>
      </w:r>
      <w:r w:rsidR="006F1F8E">
        <w:rPr>
          <w:rFonts w:ascii="Calibri" w:hAnsi="Calibri"/>
          <w:spacing w:val="-2"/>
          <w:szCs w:val="24"/>
        </w:rPr>
        <w:tab/>
      </w:r>
      <w:r w:rsidRPr="006F1F8E">
        <w:rPr>
          <w:rFonts w:ascii="Calibri" w:hAnsi="Calibri"/>
          <w:spacing w:val="-2"/>
          <w:szCs w:val="24"/>
        </w:rPr>
        <w:t>[state] DOT</w:t>
      </w:r>
    </w:p>
    <w:p w14:paraId="402391A0" w14:textId="77777777" w:rsidR="008456BB" w:rsidRDefault="008456BB" w:rsidP="00232C72">
      <w:pPr>
        <w:suppressAutoHyphens/>
        <w:ind w:left="2880" w:firstLine="720"/>
        <w:contextualSpacing/>
        <w:rPr>
          <w:rFonts w:ascii="Calibri" w:hAnsi="Calibri"/>
          <w:spacing w:val="-2"/>
          <w:szCs w:val="24"/>
        </w:rPr>
      </w:pPr>
      <w:r w:rsidRPr="005459DB">
        <w:rPr>
          <w:rFonts w:ascii="Calibri" w:hAnsi="Calibri"/>
          <w:spacing w:val="-2"/>
          <w:szCs w:val="24"/>
        </w:rPr>
        <w:t>FHWA [office]</w:t>
      </w:r>
    </w:p>
    <w:p w14:paraId="2F967A4C" w14:textId="77777777" w:rsidR="009055A6" w:rsidRPr="005459DB" w:rsidRDefault="009055A6" w:rsidP="00232C72">
      <w:pPr>
        <w:suppressAutoHyphens/>
        <w:ind w:left="2880" w:firstLine="720"/>
        <w:contextualSpacing/>
        <w:rPr>
          <w:rFonts w:ascii="Calibri" w:hAnsi="Calibri"/>
          <w:spacing w:val="-2"/>
          <w:szCs w:val="24"/>
        </w:rPr>
      </w:pPr>
      <w:r>
        <w:rPr>
          <w:rFonts w:ascii="Calibri" w:hAnsi="Calibri"/>
          <w:spacing w:val="-2"/>
          <w:szCs w:val="24"/>
        </w:rPr>
        <w:t xml:space="preserve">AASHTO </w:t>
      </w:r>
      <w:r w:rsidRPr="005459DB">
        <w:rPr>
          <w:rFonts w:ascii="Calibri" w:hAnsi="Calibri"/>
          <w:spacing w:val="-2"/>
          <w:szCs w:val="24"/>
        </w:rPr>
        <w:t>[</w:t>
      </w:r>
      <w:r w:rsidR="00FB7272" w:rsidRPr="005A74C1">
        <w:rPr>
          <w:rFonts w:ascii="Calibri" w:hAnsi="Calibri"/>
          <w:spacing w:val="-2"/>
          <w:szCs w:val="24"/>
        </w:rPr>
        <w:t>Committee</w:t>
      </w:r>
      <w:r w:rsidR="00FB7272">
        <w:rPr>
          <w:rFonts w:ascii="Calibri" w:hAnsi="Calibri"/>
          <w:spacing w:val="-2"/>
          <w:szCs w:val="24"/>
        </w:rPr>
        <w:t xml:space="preserve"> or</w:t>
      </w:r>
      <w:r w:rsidR="00FB7272" w:rsidRPr="005A74C1">
        <w:rPr>
          <w:rFonts w:ascii="Calibri" w:hAnsi="Calibri"/>
          <w:spacing w:val="-2"/>
          <w:szCs w:val="24"/>
        </w:rPr>
        <w:t xml:space="preserve"> Council</w:t>
      </w:r>
      <w:r w:rsidRPr="005459DB">
        <w:rPr>
          <w:rFonts w:ascii="Calibri" w:hAnsi="Calibri"/>
          <w:spacing w:val="-2"/>
          <w:szCs w:val="24"/>
        </w:rPr>
        <w:t>]</w:t>
      </w:r>
    </w:p>
    <w:p w14:paraId="3ADE80EA" w14:textId="77777777" w:rsidR="008456BB" w:rsidRPr="005459DB" w:rsidRDefault="008456BB" w:rsidP="00232C72">
      <w:pPr>
        <w:suppressAutoHyphens/>
        <w:ind w:left="3600"/>
        <w:contextualSpacing/>
        <w:rPr>
          <w:rFonts w:ascii="Calibri" w:hAnsi="Calibri"/>
          <w:spacing w:val="-2"/>
          <w:szCs w:val="24"/>
        </w:rPr>
      </w:pPr>
      <w:r w:rsidRPr="005459DB">
        <w:rPr>
          <w:rFonts w:ascii="Calibri" w:hAnsi="Calibri"/>
          <w:spacing w:val="-2"/>
          <w:szCs w:val="24"/>
        </w:rPr>
        <w:t xml:space="preserve">AASHTO staff on behalf of </w:t>
      </w:r>
      <w:r w:rsidR="00551767" w:rsidRPr="005459DB">
        <w:rPr>
          <w:rFonts w:ascii="Calibri" w:hAnsi="Calibri"/>
          <w:spacing w:val="-2"/>
          <w:szCs w:val="24"/>
        </w:rPr>
        <w:t>the A</w:t>
      </w:r>
      <w:r w:rsidRPr="005459DB">
        <w:rPr>
          <w:rFonts w:ascii="Calibri" w:hAnsi="Calibri"/>
          <w:spacing w:val="-2"/>
          <w:szCs w:val="24"/>
        </w:rPr>
        <w:t xml:space="preserve">ASHTO </w:t>
      </w:r>
      <w:r w:rsidR="00551767" w:rsidRPr="005459DB">
        <w:rPr>
          <w:rFonts w:ascii="Calibri" w:hAnsi="Calibri"/>
          <w:spacing w:val="-2"/>
          <w:szCs w:val="24"/>
        </w:rPr>
        <w:t>[</w:t>
      </w:r>
      <w:r w:rsidR="00FB7272" w:rsidRPr="005A74C1">
        <w:rPr>
          <w:rFonts w:ascii="Calibri" w:hAnsi="Calibri"/>
          <w:spacing w:val="-2"/>
          <w:szCs w:val="24"/>
        </w:rPr>
        <w:t>Committee</w:t>
      </w:r>
      <w:r w:rsidR="00FB7272">
        <w:rPr>
          <w:rFonts w:ascii="Calibri" w:hAnsi="Calibri"/>
          <w:spacing w:val="-2"/>
          <w:szCs w:val="24"/>
        </w:rPr>
        <w:t xml:space="preserve"> or</w:t>
      </w:r>
      <w:r w:rsidR="00FB7272" w:rsidRPr="005A74C1">
        <w:rPr>
          <w:rFonts w:ascii="Calibri" w:hAnsi="Calibri"/>
          <w:spacing w:val="-2"/>
          <w:szCs w:val="24"/>
        </w:rPr>
        <w:t xml:space="preserve"> Council</w:t>
      </w:r>
      <w:r w:rsidR="00551767" w:rsidRPr="005459DB">
        <w:rPr>
          <w:rFonts w:ascii="Calibri" w:hAnsi="Calibri"/>
          <w:spacing w:val="-2"/>
          <w:szCs w:val="24"/>
        </w:rPr>
        <w:t>]</w:t>
      </w:r>
    </w:p>
    <w:p w14:paraId="0504598B" w14:textId="77777777" w:rsidR="00354613" w:rsidRPr="005459DB" w:rsidRDefault="00354613" w:rsidP="00232C72">
      <w:pPr>
        <w:suppressAutoHyphens/>
        <w:contextualSpacing/>
        <w:rPr>
          <w:rFonts w:ascii="Calibri" w:hAnsi="Calibri"/>
          <w:spacing w:val="-2"/>
          <w:szCs w:val="24"/>
        </w:rPr>
      </w:pPr>
    </w:p>
    <w:p w14:paraId="12EBD662" w14:textId="77777777" w:rsidR="00FA30DC" w:rsidRDefault="002D5B90" w:rsidP="00FA30DC">
      <w:pPr>
        <w:pStyle w:val="BodyText"/>
        <w:tabs>
          <w:tab w:val="clear" w:pos="-1440"/>
          <w:tab w:val="clear" w:pos="-720"/>
          <w:tab w:val="clear" w:pos="0"/>
          <w:tab w:val="clear" w:pos="600"/>
          <w:tab w:val="clear" w:pos="1320"/>
          <w:tab w:val="clear" w:pos="204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contextualSpacing/>
        <w:jc w:val="center"/>
        <w:rPr>
          <w:rFonts w:ascii="Calibri" w:hAnsi="Calibri"/>
          <w:sz w:val="24"/>
          <w:szCs w:val="24"/>
        </w:rPr>
      </w:pPr>
      <w:r w:rsidRPr="005459DB">
        <w:rPr>
          <w:rFonts w:ascii="Calibri" w:hAnsi="Calibri"/>
          <w:sz w:val="24"/>
          <w:szCs w:val="24"/>
        </w:rPr>
        <w:t xml:space="preserve">Please submit </w:t>
      </w:r>
      <w:r w:rsidR="00FA30DC">
        <w:rPr>
          <w:rFonts w:ascii="Calibri" w:hAnsi="Calibri"/>
          <w:sz w:val="24"/>
          <w:szCs w:val="24"/>
        </w:rPr>
        <w:t xml:space="preserve">the </w:t>
      </w:r>
      <w:r w:rsidRPr="005459DB">
        <w:rPr>
          <w:rFonts w:ascii="Calibri" w:hAnsi="Calibri"/>
          <w:sz w:val="24"/>
          <w:szCs w:val="24"/>
        </w:rPr>
        <w:t>problem statement</w:t>
      </w:r>
      <w:r w:rsidR="002D3120">
        <w:rPr>
          <w:rFonts w:ascii="Calibri" w:hAnsi="Calibri"/>
          <w:sz w:val="24"/>
          <w:szCs w:val="24"/>
        </w:rPr>
        <w:t xml:space="preserve"> by</w:t>
      </w:r>
      <w:r w:rsidR="00FA30DC">
        <w:rPr>
          <w:rFonts w:ascii="Calibri" w:hAnsi="Calibri"/>
          <w:sz w:val="24"/>
          <w:szCs w:val="24"/>
        </w:rPr>
        <w:t>:</w:t>
      </w:r>
    </w:p>
    <w:p w14:paraId="7C8C1982" w14:textId="77777777" w:rsidR="00774640" w:rsidRDefault="00FA30DC" w:rsidP="00FA30DC">
      <w:pPr>
        <w:pStyle w:val="BodyText"/>
        <w:tabs>
          <w:tab w:val="clear" w:pos="-1440"/>
          <w:tab w:val="clear" w:pos="-720"/>
          <w:tab w:val="clear" w:pos="0"/>
          <w:tab w:val="clear" w:pos="600"/>
          <w:tab w:val="clear" w:pos="1320"/>
          <w:tab w:val="clear" w:pos="204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contextualSpacing/>
        <w:jc w:val="center"/>
      </w:pPr>
      <w:r>
        <w:rPr>
          <w:rFonts w:ascii="Calibri" w:hAnsi="Calibri"/>
          <w:sz w:val="24"/>
          <w:szCs w:val="24"/>
        </w:rPr>
        <w:t>Midnight EST on</w:t>
      </w:r>
      <w:r w:rsidR="002D3120">
        <w:rPr>
          <w:rFonts w:ascii="Calibri" w:hAnsi="Calibri"/>
          <w:sz w:val="24"/>
          <w:szCs w:val="24"/>
        </w:rPr>
        <w:t xml:space="preserve"> November 1, 2019</w:t>
      </w:r>
      <w:r>
        <w:rPr>
          <w:rFonts w:ascii="Calibri" w:hAnsi="Calibri"/>
          <w:sz w:val="24"/>
          <w:szCs w:val="24"/>
        </w:rPr>
        <w:t xml:space="preserve">: </w:t>
      </w:r>
      <w:hyperlink r:id="rId17" w:history="1">
        <w:r w:rsidR="00FD131B" w:rsidRPr="00FD131B">
          <w:rPr>
            <w:rStyle w:val="Hyperlink"/>
            <w:rFonts w:asciiTheme="minorHAnsi" w:hAnsiTheme="minorHAnsi" w:cstheme="minorHAnsi"/>
            <w:b/>
          </w:rPr>
          <w:t>http://bit.ly/NCHRPFY2021</w:t>
        </w:r>
      </w:hyperlink>
    </w:p>
    <w:p w14:paraId="25BB7B00" w14:textId="77777777" w:rsidR="00FD131B" w:rsidRDefault="00FD131B" w:rsidP="00FA30DC">
      <w:pPr>
        <w:pStyle w:val="BodyText"/>
        <w:tabs>
          <w:tab w:val="clear" w:pos="-1440"/>
          <w:tab w:val="clear" w:pos="-720"/>
          <w:tab w:val="clear" w:pos="0"/>
          <w:tab w:val="clear" w:pos="600"/>
          <w:tab w:val="clear" w:pos="1320"/>
          <w:tab w:val="clear" w:pos="204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contextualSpacing/>
        <w:jc w:val="center"/>
        <w:rPr>
          <w:rStyle w:val="Hyperlink"/>
          <w:rFonts w:ascii="Calibri" w:hAnsi="Calibri"/>
          <w:b/>
          <w:szCs w:val="24"/>
        </w:rPr>
      </w:pPr>
    </w:p>
    <w:p w14:paraId="246A82B2" w14:textId="77777777" w:rsidR="00FA30DC" w:rsidRDefault="00FA30DC" w:rsidP="00FA30DC">
      <w:pPr>
        <w:pStyle w:val="BodyText"/>
        <w:tabs>
          <w:tab w:val="clear" w:pos="-1440"/>
          <w:tab w:val="clear" w:pos="-720"/>
          <w:tab w:val="clear" w:pos="0"/>
          <w:tab w:val="clear" w:pos="600"/>
          <w:tab w:val="clear" w:pos="1320"/>
          <w:tab w:val="clear" w:pos="204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contextualSpacing/>
        <w:jc w:val="center"/>
        <w:rPr>
          <w:rStyle w:val="Hyperlink"/>
          <w:rFonts w:ascii="Calibri" w:hAnsi="Calibri"/>
          <w:b/>
          <w:szCs w:val="24"/>
        </w:rPr>
      </w:pPr>
    </w:p>
    <w:p w14:paraId="2524BC62" w14:textId="77777777" w:rsidR="00C53173" w:rsidRDefault="002D3120" w:rsidP="002D3120">
      <w:pPr>
        <w:suppressAutoHyphens/>
        <w:contextualSpacing/>
        <w:jc w:val="center"/>
        <w:rPr>
          <w:rFonts w:ascii="Calibri" w:hAnsi="Calibri"/>
          <w:spacing w:val="-2"/>
          <w:szCs w:val="24"/>
        </w:rPr>
      </w:pPr>
      <w:r w:rsidRPr="002D3120">
        <w:rPr>
          <w:rFonts w:ascii="Calibri" w:hAnsi="Calibri"/>
          <w:spacing w:val="-2"/>
          <w:szCs w:val="24"/>
        </w:rPr>
        <w:t xml:space="preserve">Late submittals </w:t>
      </w:r>
      <w:r w:rsidRPr="007479D4">
        <w:rPr>
          <w:rFonts w:ascii="Calibri" w:hAnsi="Calibri"/>
          <w:spacing w:val="-2"/>
          <w:szCs w:val="24"/>
          <w:u w:val="single"/>
        </w:rPr>
        <w:t>will not be accepted</w:t>
      </w:r>
      <w:r w:rsidRPr="002D3120">
        <w:rPr>
          <w:rFonts w:ascii="Calibri" w:hAnsi="Calibri"/>
          <w:spacing w:val="-2"/>
          <w:szCs w:val="24"/>
        </w:rPr>
        <w:t>.</w:t>
      </w:r>
    </w:p>
    <w:p w14:paraId="0D5BCDA7" w14:textId="77777777" w:rsidR="00FA30DC" w:rsidRPr="002D3120" w:rsidRDefault="00FA30DC" w:rsidP="002D3120">
      <w:pPr>
        <w:suppressAutoHyphens/>
        <w:contextualSpacing/>
        <w:jc w:val="center"/>
        <w:rPr>
          <w:rFonts w:ascii="Calibri" w:hAnsi="Calibri"/>
          <w:spacing w:val="-2"/>
          <w:szCs w:val="24"/>
        </w:rPr>
      </w:pPr>
    </w:p>
    <w:p w14:paraId="15ED2F2D" w14:textId="77777777" w:rsidR="00354613" w:rsidRDefault="002D5B90" w:rsidP="00232C72">
      <w:pPr>
        <w:suppressAutoHyphens/>
        <w:contextualSpacing/>
        <w:jc w:val="center"/>
        <w:rPr>
          <w:rStyle w:val="Hyperlink"/>
          <w:rFonts w:ascii="Calibri" w:hAnsi="Calibri"/>
          <w:i/>
          <w:szCs w:val="24"/>
        </w:rPr>
      </w:pPr>
      <w:r w:rsidRPr="005459DB">
        <w:rPr>
          <w:rFonts w:ascii="Calibri" w:hAnsi="Calibri"/>
          <w:i/>
          <w:szCs w:val="24"/>
        </w:rPr>
        <w:t>Questions on the process can be directed to</w:t>
      </w:r>
      <w:r w:rsidR="002D3120">
        <w:rPr>
          <w:rFonts w:ascii="Calibri" w:hAnsi="Calibri"/>
          <w:i/>
          <w:szCs w:val="24"/>
        </w:rPr>
        <w:t xml:space="preserve"> Lori Sundstrom at </w:t>
      </w:r>
      <w:hyperlink r:id="rId18" w:history="1">
        <w:r w:rsidR="00B05510" w:rsidRPr="005459DB">
          <w:rPr>
            <w:rStyle w:val="Hyperlink"/>
            <w:rFonts w:ascii="Calibri" w:hAnsi="Calibri"/>
            <w:i/>
            <w:szCs w:val="24"/>
          </w:rPr>
          <w:t>lsundstrom@nas.edu</w:t>
        </w:r>
      </w:hyperlink>
    </w:p>
    <w:p w14:paraId="4E6EFD84" w14:textId="77777777" w:rsidR="001D2D57" w:rsidRPr="005459DB" w:rsidRDefault="001D2D57" w:rsidP="00232C72">
      <w:pPr>
        <w:suppressAutoHyphens/>
        <w:contextualSpacing/>
        <w:rPr>
          <w:rFonts w:ascii="Calibri" w:hAnsi="Calibri"/>
          <w:szCs w:val="24"/>
        </w:rPr>
      </w:pPr>
    </w:p>
    <w:sectPr w:rsidR="001D2D57" w:rsidRPr="005459DB" w:rsidSect="00C53173">
      <w:footerReference w:type="default" r:id="rId19"/>
      <w:endnotePr>
        <w:numFmt w:val="decimal"/>
      </w:endnotePr>
      <w:pgSz w:w="12240" w:h="15840"/>
      <w:pgMar w:top="720" w:right="1008" w:bottom="720" w:left="1008" w:header="720" w:footer="720" w:gutter="0"/>
      <w:pgNumType w:start="1"/>
      <w:cols w:space="720"/>
      <w:noEndnot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A8676" w16cex:dateUtc="2020-07-28T18: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7CAB9" w14:textId="77777777" w:rsidR="00182C6F" w:rsidRDefault="00182C6F">
      <w:pPr>
        <w:spacing w:line="20" w:lineRule="exact"/>
      </w:pPr>
    </w:p>
  </w:endnote>
  <w:endnote w:type="continuationSeparator" w:id="0">
    <w:p w14:paraId="00F78859" w14:textId="77777777" w:rsidR="00182C6F" w:rsidRDefault="00182C6F">
      <w:r>
        <w:t xml:space="preserve"> </w:t>
      </w:r>
    </w:p>
  </w:endnote>
  <w:endnote w:type="continuationNotice" w:id="1">
    <w:p w14:paraId="4C3CF26A" w14:textId="77777777" w:rsidR="00182C6F" w:rsidRDefault="00182C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8DEEC" w14:textId="77777777" w:rsidR="003E6C67" w:rsidRDefault="003E6C67">
    <w:pPr>
      <w:pStyle w:val="Footer"/>
      <w:jc w:val="center"/>
      <w:rPr>
        <w:rFonts w:ascii="CG Times" w:hAnsi="CG Times"/>
        <w:sz w:val="18"/>
      </w:rPr>
    </w:pPr>
    <w:r>
      <w:rPr>
        <w:rFonts w:ascii="CG Times" w:hAnsi="CG Times"/>
        <w:snapToGrid w:val="0"/>
        <w:sz w:val="18"/>
      </w:rPr>
      <w:t xml:space="preserve">Page </w:t>
    </w:r>
    <w:r>
      <w:rPr>
        <w:rFonts w:ascii="CG Times" w:hAnsi="CG Times"/>
        <w:snapToGrid w:val="0"/>
        <w:sz w:val="18"/>
      </w:rPr>
      <w:fldChar w:fldCharType="begin"/>
    </w:r>
    <w:r>
      <w:rPr>
        <w:rFonts w:ascii="CG Times" w:hAnsi="CG Times"/>
        <w:snapToGrid w:val="0"/>
        <w:sz w:val="18"/>
      </w:rPr>
      <w:instrText xml:space="preserve"> PAGE </w:instrText>
    </w:r>
    <w:r>
      <w:rPr>
        <w:rFonts w:ascii="CG Times" w:hAnsi="CG Times"/>
        <w:snapToGrid w:val="0"/>
        <w:sz w:val="18"/>
      </w:rPr>
      <w:fldChar w:fldCharType="separate"/>
    </w:r>
    <w:r w:rsidR="00FD131B">
      <w:rPr>
        <w:rFonts w:ascii="CG Times" w:hAnsi="CG Times"/>
        <w:noProof/>
        <w:snapToGrid w:val="0"/>
        <w:sz w:val="18"/>
      </w:rPr>
      <w:t>3</w:t>
    </w:r>
    <w:r>
      <w:rPr>
        <w:rFonts w:ascii="CG Times" w:hAnsi="CG Times"/>
        <w:snapToGrid w:val="0"/>
        <w:sz w:val="18"/>
      </w:rPr>
      <w:fldChar w:fldCharType="end"/>
    </w:r>
    <w:r>
      <w:rPr>
        <w:rFonts w:ascii="CG Times" w:hAnsi="CG Times"/>
        <w:snapToGrid w:val="0"/>
        <w:sz w:val="18"/>
      </w:rPr>
      <w:t xml:space="preserve"> of </w:t>
    </w:r>
    <w:r>
      <w:rPr>
        <w:rFonts w:ascii="CG Times" w:hAnsi="CG Times"/>
        <w:snapToGrid w:val="0"/>
        <w:sz w:val="18"/>
      </w:rPr>
      <w:fldChar w:fldCharType="begin"/>
    </w:r>
    <w:r>
      <w:rPr>
        <w:rFonts w:ascii="CG Times" w:hAnsi="CG Times"/>
        <w:snapToGrid w:val="0"/>
        <w:sz w:val="18"/>
      </w:rPr>
      <w:instrText xml:space="preserve"> NUMPAGES </w:instrText>
    </w:r>
    <w:r>
      <w:rPr>
        <w:rFonts w:ascii="CG Times" w:hAnsi="CG Times"/>
        <w:snapToGrid w:val="0"/>
        <w:sz w:val="18"/>
      </w:rPr>
      <w:fldChar w:fldCharType="separate"/>
    </w:r>
    <w:r w:rsidR="00FD131B">
      <w:rPr>
        <w:rFonts w:ascii="CG Times" w:hAnsi="CG Times"/>
        <w:noProof/>
        <w:snapToGrid w:val="0"/>
        <w:sz w:val="18"/>
      </w:rPr>
      <w:t>4</w:t>
    </w:r>
    <w:r>
      <w:rPr>
        <w:rFonts w:ascii="CG Times" w:hAnsi="CG Times"/>
        <w:snapToGrid w:val="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ADF27" w14:textId="77777777" w:rsidR="00182C6F" w:rsidRDefault="00182C6F">
      <w:r>
        <w:separator/>
      </w:r>
    </w:p>
  </w:footnote>
  <w:footnote w:type="continuationSeparator" w:id="0">
    <w:p w14:paraId="400179E5" w14:textId="77777777" w:rsidR="00182C6F" w:rsidRDefault="00182C6F">
      <w:r>
        <w:continuationSeparator/>
      </w:r>
    </w:p>
  </w:footnote>
  <w:footnote w:type="continuationNotice" w:id="1">
    <w:p w14:paraId="191E2F72" w14:textId="77777777" w:rsidR="00182C6F" w:rsidRDefault="00182C6F"/>
  </w:footnote>
  <w:footnote w:id="2">
    <w:p w14:paraId="5CC470DF" w14:textId="77777777" w:rsidR="00012EDA" w:rsidRDefault="00012EDA" w:rsidP="00012EDA">
      <w:pPr>
        <w:rPr>
          <w:color w:val="000000"/>
          <w:szCs w:val="24"/>
        </w:rPr>
      </w:pPr>
      <w:r>
        <w:rPr>
          <w:vertAlign w:val="superscript"/>
        </w:rPr>
        <w:footnoteRef/>
      </w:r>
      <w:r>
        <w:rPr>
          <w:color w:val="000000"/>
        </w:rPr>
        <w:t xml:space="preserve"> IHS Markit </w:t>
      </w:r>
      <w:hyperlink r:id="rId1" w:history="1">
        <w:r>
          <w:rPr>
            <w:rStyle w:val="Hyperlink"/>
          </w:rPr>
          <w:t>https://news.ihsmarkit.com/prviewer/release_only/slug/automotive-average-age-cars-and-light-trucks-us-rises-again-2019-118-years-ihs-markit-</w:t>
        </w:r>
      </w:hyperlink>
      <w:r>
        <w:rPr>
          <w:color w:val="000000"/>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08B8"/>
    <w:multiLevelType w:val="hybridMultilevel"/>
    <w:tmpl w:val="3EC0A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E6AB6"/>
    <w:multiLevelType w:val="hybridMultilevel"/>
    <w:tmpl w:val="52C4B5F8"/>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0A47778D"/>
    <w:multiLevelType w:val="hybridMultilevel"/>
    <w:tmpl w:val="A67A3596"/>
    <w:lvl w:ilvl="0" w:tplc="F6BE66E2">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E90580C"/>
    <w:multiLevelType w:val="hybridMultilevel"/>
    <w:tmpl w:val="FFC61066"/>
    <w:lvl w:ilvl="0" w:tplc="0409000B">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961EE"/>
    <w:multiLevelType w:val="hybridMultilevel"/>
    <w:tmpl w:val="36968D36"/>
    <w:lvl w:ilvl="0" w:tplc="1E9474C4">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A62BC3"/>
    <w:multiLevelType w:val="hybridMultilevel"/>
    <w:tmpl w:val="C4326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E91054"/>
    <w:multiLevelType w:val="hybridMultilevel"/>
    <w:tmpl w:val="2238F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735B49"/>
    <w:multiLevelType w:val="hybridMultilevel"/>
    <w:tmpl w:val="A412CC6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A33D1B"/>
    <w:multiLevelType w:val="hybridMultilevel"/>
    <w:tmpl w:val="AAAE6C98"/>
    <w:lvl w:ilvl="0" w:tplc="04090019">
      <w:start w:val="1"/>
      <w:numFmt w:val="lowerLetter"/>
      <w:lvlText w:val="%1."/>
      <w:lvlJc w:val="left"/>
      <w:pPr>
        <w:ind w:left="1080" w:hanging="360"/>
      </w:pPr>
      <w:rPr>
        <w:rFonts w:hint="default"/>
      </w:rPr>
    </w:lvl>
    <w:lvl w:ilvl="1" w:tplc="F320A700">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CE30B0"/>
    <w:multiLevelType w:val="hybridMultilevel"/>
    <w:tmpl w:val="3ABA7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164618"/>
    <w:multiLevelType w:val="hybridMultilevel"/>
    <w:tmpl w:val="B442B4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DAE3B31"/>
    <w:multiLevelType w:val="multilevel"/>
    <w:tmpl w:val="30963FCC"/>
    <w:lvl w:ilvl="0">
      <w:start w:val="1"/>
      <w:numFmt w:val="bullet"/>
      <w:lvlText w:val="●"/>
      <w:lvlJc w:val="left"/>
      <w:pPr>
        <w:ind w:left="2216" w:hanging="360"/>
      </w:pPr>
      <w:rPr>
        <w:rFonts w:ascii="Noto Sans Symbols" w:eastAsia="Noto Sans Symbols" w:hAnsi="Noto Sans Symbols" w:cs="Noto Sans Symbols"/>
        <w:vertAlign w:val="baseline"/>
      </w:rPr>
    </w:lvl>
    <w:lvl w:ilvl="1">
      <w:start w:val="1"/>
      <w:numFmt w:val="bullet"/>
      <w:lvlText w:val="o"/>
      <w:lvlJc w:val="left"/>
      <w:pPr>
        <w:ind w:left="2936" w:hanging="360"/>
      </w:pPr>
      <w:rPr>
        <w:rFonts w:ascii="Courier New" w:eastAsia="Courier New" w:hAnsi="Courier New" w:cs="Courier New"/>
        <w:vertAlign w:val="baseline"/>
      </w:rPr>
    </w:lvl>
    <w:lvl w:ilvl="2">
      <w:start w:val="1"/>
      <w:numFmt w:val="bullet"/>
      <w:lvlText w:val="▪"/>
      <w:lvlJc w:val="left"/>
      <w:pPr>
        <w:ind w:left="3656" w:hanging="360"/>
      </w:pPr>
      <w:rPr>
        <w:rFonts w:ascii="Noto Sans Symbols" w:eastAsia="Noto Sans Symbols" w:hAnsi="Noto Sans Symbols" w:cs="Noto Sans Symbols"/>
        <w:vertAlign w:val="baseline"/>
      </w:rPr>
    </w:lvl>
    <w:lvl w:ilvl="3">
      <w:start w:val="1"/>
      <w:numFmt w:val="bullet"/>
      <w:lvlText w:val="●"/>
      <w:lvlJc w:val="left"/>
      <w:pPr>
        <w:ind w:left="4376" w:hanging="360"/>
      </w:pPr>
      <w:rPr>
        <w:rFonts w:ascii="Noto Sans Symbols" w:eastAsia="Noto Sans Symbols" w:hAnsi="Noto Sans Symbols" w:cs="Noto Sans Symbols"/>
        <w:vertAlign w:val="baseline"/>
      </w:rPr>
    </w:lvl>
    <w:lvl w:ilvl="4">
      <w:start w:val="1"/>
      <w:numFmt w:val="bullet"/>
      <w:lvlText w:val="o"/>
      <w:lvlJc w:val="left"/>
      <w:pPr>
        <w:ind w:left="5096" w:hanging="360"/>
      </w:pPr>
      <w:rPr>
        <w:rFonts w:ascii="Courier New" w:eastAsia="Courier New" w:hAnsi="Courier New" w:cs="Courier New"/>
        <w:vertAlign w:val="baseline"/>
      </w:rPr>
    </w:lvl>
    <w:lvl w:ilvl="5">
      <w:start w:val="1"/>
      <w:numFmt w:val="bullet"/>
      <w:lvlText w:val="▪"/>
      <w:lvlJc w:val="left"/>
      <w:pPr>
        <w:ind w:left="5816" w:hanging="360"/>
      </w:pPr>
      <w:rPr>
        <w:rFonts w:ascii="Noto Sans Symbols" w:eastAsia="Noto Sans Symbols" w:hAnsi="Noto Sans Symbols" w:cs="Noto Sans Symbols"/>
        <w:vertAlign w:val="baseline"/>
      </w:rPr>
    </w:lvl>
    <w:lvl w:ilvl="6">
      <w:start w:val="1"/>
      <w:numFmt w:val="bullet"/>
      <w:lvlText w:val="●"/>
      <w:lvlJc w:val="left"/>
      <w:pPr>
        <w:ind w:left="6536" w:hanging="360"/>
      </w:pPr>
      <w:rPr>
        <w:rFonts w:ascii="Noto Sans Symbols" w:eastAsia="Noto Sans Symbols" w:hAnsi="Noto Sans Symbols" w:cs="Noto Sans Symbols"/>
        <w:vertAlign w:val="baseline"/>
      </w:rPr>
    </w:lvl>
    <w:lvl w:ilvl="7">
      <w:start w:val="1"/>
      <w:numFmt w:val="bullet"/>
      <w:lvlText w:val="o"/>
      <w:lvlJc w:val="left"/>
      <w:pPr>
        <w:ind w:left="7256" w:hanging="360"/>
      </w:pPr>
      <w:rPr>
        <w:rFonts w:ascii="Courier New" w:eastAsia="Courier New" w:hAnsi="Courier New" w:cs="Courier New"/>
        <w:vertAlign w:val="baseline"/>
      </w:rPr>
    </w:lvl>
    <w:lvl w:ilvl="8">
      <w:start w:val="1"/>
      <w:numFmt w:val="bullet"/>
      <w:lvlText w:val="▪"/>
      <w:lvlJc w:val="left"/>
      <w:pPr>
        <w:ind w:left="7976" w:hanging="360"/>
      </w:pPr>
      <w:rPr>
        <w:rFonts w:ascii="Noto Sans Symbols" w:eastAsia="Noto Sans Symbols" w:hAnsi="Noto Sans Symbols" w:cs="Noto Sans Symbols"/>
        <w:vertAlign w:val="baseline"/>
      </w:rPr>
    </w:lvl>
  </w:abstractNum>
  <w:abstractNum w:abstractNumId="12" w15:restartNumberingAfterBreak="0">
    <w:nsid w:val="2F690803"/>
    <w:multiLevelType w:val="hybridMultilevel"/>
    <w:tmpl w:val="2E644086"/>
    <w:lvl w:ilvl="0" w:tplc="04090001">
      <w:start w:val="1"/>
      <w:numFmt w:val="bullet"/>
      <w:lvlText w:val=""/>
      <w:lvlJc w:val="left"/>
      <w:pPr>
        <w:ind w:left="720" w:hanging="360"/>
      </w:pPr>
      <w:rPr>
        <w:rFonts w:ascii="Symbol" w:hAnsi="Symbol" w:hint="default"/>
      </w:rPr>
    </w:lvl>
    <w:lvl w:ilvl="1" w:tplc="3B86014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961DE"/>
    <w:multiLevelType w:val="hybridMultilevel"/>
    <w:tmpl w:val="E770581C"/>
    <w:lvl w:ilvl="0" w:tplc="1E9474C4">
      <w:start w:val="1"/>
      <w:numFmt w:val="lowerLetter"/>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C31CE0"/>
    <w:multiLevelType w:val="hybridMultilevel"/>
    <w:tmpl w:val="C0309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46F10"/>
    <w:multiLevelType w:val="hybridMultilevel"/>
    <w:tmpl w:val="F8DA54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A2D1C2C"/>
    <w:multiLevelType w:val="hybridMultilevel"/>
    <w:tmpl w:val="CF3CC2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3AFC0BCC"/>
    <w:multiLevelType w:val="hybridMultilevel"/>
    <w:tmpl w:val="9F82E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00705A0"/>
    <w:multiLevelType w:val="multilevel"/>
    <w:tmpl w:val="1562A4D8"/>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9" w15:restartNumberingAfterBreak="0">
    <w:nsid w:val="404A1723"/>
    <w:multiLevelType w:val="hybridMultilevel"/>
    <w:tmpl w:val="B0484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DE3804"/>
    <w:multiLevelType w:val="hybridMultilevel"/>
    <w:tmpl w:val="77C8A5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9367D3"/>
    <w:multiLevelType w:val="hybridMultilevel"/>
    <w:tmpl w:val="C73E3F8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2" w15:restartNumberingAfterBreak="0">
    <w:nsid w:val="431A7AAD"/>
    <w:multiLevelType w:val="hybridMultilevel"/>
    <w:tmpl w:val="30A0F9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752582E"/>
    <w:multiLevelType w:val="multilevel"/>
    <w:tmpl w:val="5C62ACA2"/>
    <w:lvl w:ilvl="0">
      <w:start w:val="1"/>
      <w:numFmt w:val="bullet"/>
      <w:lvlText w:val="●"/>
      <w:lvlJc w:val="left"/>
      <w:pPr>
        <w:ind w:left="1224" w:hanging="360"/>
      </w:pPr>
      <w:rPr>
        <w:rFonts w:ascii="Noto Sans Symbols" w:eastAsia="Noto Sans Symbols" w:hAnsi="Noto Sans Symbols" w:cs="Noto Sans Symbols"/>
        <w:vertAlign w:val="baseline"/>
      </w:rPr>
    </w:lvl>
    <w:lvl w:ilvl="1">
      <w:start w:val="1"/>
      <w:numFmt w:val="bullet"/>
      <w:lvlText w:val="o"/>
      <w:lvlJc w:val="left"/>
      <w:pPr>
        <w:ind w:left="1944" w:hanging="360"/>
      </w:pPr>
      <w:rPr>
        <w:rFonts w:ascii="Courier New" w:eastAsia="Courier New" w:hAnsi="Courier New" w:cs="Courier New"/>
        <w:vertAlign w:val="baseline"/>
      </w:rPr>
    </w:lvl>
    <w:lvl w:ilvl="2">
      <w:start w:val="1"/>
      <w:numFmt w:val="bullet"/>
      <w:lvlText w:val="▪"/>
      <w:lvlJc w:val="left"/>
      <w:pPr>
        <w:ind w:left="2664" w:hanging="360"/>
      </w:pPr>
      <w:rPr>
        <w:rFonts w:ascii="Noto Sans Symbols" w:eastAsia="Noto Sans Symbols" w:hAnsi="Noto Sans Symbols" w:cs="Noto Sans Symbols"/>
        <w:vertAlign w:val="baseline"/>
      </w:rPr>
    </w:lvl>
    <w:lvl w:ilvl="3">
      <w:start w:val="1"/>
      <w:numFmt w:val="bullet"/>
      <w:lvlText w:val="●"/>
      <w:lvlJc w:val="left"/>
      <w:pPr>
        <w:ind w:left="3384" w:hanging="360"/>
      </w:pPr>
      <w:rPr>
        <w:rFonts w:ascii="Noto Sans Symbols" w:eastAsia="Noto Sans Symbols" w:hAnsi="Noto Sans Symbols" w:cs="Noto Sans Symbols"/>
        <w:vertAlign w:val="baseline"/>
      </w:rPr>
    </w:lvl>
    <w:lvl w:ilvl="4">
      <w:start w:val="1"/>
      <w:numFmt w:val="bullet"/>
      <w:lvlText w:val="o"/>
      <w:lvlJc w:val="left"/>
      <w:pPr>
        <w:ind w:left="4104" w:hanging="360"/>
      </w:pPr>
      <w:rPr>
        <w:rFonts w:ascii="Courier New" w:eastAsia="Courier New" w:hAnsi="Courier New" w:cs="Courier New"/>
        <w:vertAlign w:val="baseline"/>
      </w:rPr>
    </w:lvl>
    <w:lvl w:ilvl="5">
      <w:start w:val="1"/>
      <w:numFmt w:val="bullet"/>
      <w:lvlText w:val="▪"/>
      <w:lvlJc w:val="left"/>
      <w:pPr>
        <w:ind w:left="4824" w:hanging="360"/>
      </w:pPr>
      <w:rPr>
        <w:rFonts w:ascii="Noto Sans Symbols" w:eastAsia="Noto Sans Symbols" w:hAnsi="Noto Sans Symbols" w:cs="Noto Sans Symbols"/>
        <w:vertAlign w:val="baseline"/>
      </w:rPr>
    </w:lvl>
    <w:lvl w:ilvl="6">
      <w:start w:val="1"/>
      <w:numFmt w:val="bullet"/>
      <w:lvlText w:val="●"/>
      <w:lvlJc w:val="left"/>
      <w:pPr>
        <w:ind w:left="5544" w:hanging="360"/>
      </w:pPr>
      <w:rPr>
        <w:rFonts w:ascii="Noto Sans Symbols" w:eastAsia="Noto Sans Symbols" w:hAnsi="Noto Sans Symbols" w:cs="Noto Sans Symbols"/>
        <w:vertAlign w:val="baseline"/>
      </w:rPr>
    </w:lvl>
    <w:lvl w:ilvl="7">
      <w:start w:val="1"/>
      <w:numFmt w:val="bullet"/>
      <w:lvlText w:val="o"/>
      <w:lvlJc w:val="left"/>
      <w:pPr>
        <w:ind w:left="6264" w:hanging="360"/>
      </w:pPr>
      <w:rPr>
        <w:rFonts w:ascii="Courier New" w:eastAsia="Courier New" w:hAnsi="Courier New" w:cs="Courier New"/>
        <w:vertAlign w:val="baseline"/>
      </w:rPr>
    </w:lvl>
    <w:lvl w:ilvl="8">
      <w:start w:val="1"/>
      <w:numFmt w:val="bullet"/>
      <w:lvlText w:val="▪"/>
      <w:lvlJc w:val="left"/>
      <w:pPr>
        <w:ind w:left="6984" w:hanging="360"/>
      </w:pPr>
      <w:rPr>
        <w:rFonts w:ascii="Noto Sans Symbols" w:eastAsia="Noto Sans Symbols" w:hAnsi="Noto Sans Symbols" w:cs="Noto Sans Symbols"/>
        <w:vertAlign w:val="baseline"/>
      </w:rPr>
    </w:lvl>
  </w:abstractNum>
  <w:abstractNum w:abstractNumId="24" w15:restartNumberingAfterBreak="0">
    <w:nsid w:val="48CE4F82"/>
    <w:multiLevelType w:val="hybridMultilevel"/>
    <w:tmpl w:val="066A4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C81264"/>
    <w:multiLevelType w:val="hybridMultilevel"/>
    <w:tmpl w:val="65E0B8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124302"/>
    <w:multiLevelType w:val="hybridMultilevel"/>
    <w:tmpl w:val="F82A1E1C"/>
    <w:lvl w:ilvl="0" w:tplc="BCCA3AD8">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E55855"/>
    <w:multiLevelType w:val="hybridMultilevel"/>
    <w:tmpl w:val="0ADA9B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6B475A9"/>
    <w:multiLevelType w:val="hybridMultilevel"/>
    <w:tmpl w:val="60DC76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960E2F"/>
    <w:multiLevelType w:val="hybridMultilevel"/>
    <w:tmpl w:val="88D62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10B37FF"/>
    <w:multiLevelType w:val="hybridMultilevel"/>
    <w:tmpl w:val="E1FAE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21339C4"/>
    <w:multiLevelType w:val="hybridMultilevel"/>
    <w:tmpl w:val="A6A80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76857BB"/>
    <w:multiLevelType w:val="multilevel"/>
    <w:tmpl w:val="C91260CE"/>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33" w15:restartNumberingAfterBreak="0">
    <w:nsid w:val="70B10634"/>
    <w:multiLevelType w:val="hybridMultilevel"/>
    <w:tmpl w:val="5D087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AE46287"/>
    <w:multiLevelType w:val="hybridMultilevel"/>
    <w:tmpl w:val="5A8C4032"/>
    <w:lvl w:ilvl="0" w:tplc="F6BE66E2">
      <w:start w:val="1"/>
      <w:numFmt w:val="lowerLetter"/>
      <w:lvlText w:val="(%1)"/>
      <w:lvlJc w:val="left"/>
      <w:pPr>
        <w:ind w:left="122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15:restartNumberingAfterBreak="0">
    <w:nsid w:val="7FCD3F74"/>
    <w:multiLevelType w:val="hybridMultilevel"/>
    <w:tmpl w:val="0554AF3A"/>
    <w:lvl w:ilvl="0" w:tplc="F6BE66E2">
      <w:start w:val="1"/>
      <w:numFmt w:val="lowerLetter"/>
      <w:lvlText w:val="(%1)"/>
      <w:lvlJc w:val="left"/>
      <w:pPr>
        <w:ind w:left="122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2"/>
  </w:num>
  <w:num w:numId="2">
    <w:abstractNumId w:val="35"/>
  </w:num>
  <w:num w:numId="3">
    <w:abstractNumId w:val="34"/>
  </w:num>
  <w:num w:numId="4">
    <w:abstractNumId w:val="15"/>
  </w:num>
  <w:num w:numId="5">
    <w:abstractNumId w:val="14"/>
  </w:num>
  <w:num w:numId="6">
    <w:abstractNumId w:val="21"/>
  </w:num>
  <w:num w:numId="7">
    <w:abstractNumId w:val="12"/>
  </w:num>
  <w:num w:numId="8">
    <w:abstractNumId w:val="20"/>
  </w:num>
  <w:num w:numId="9">
    <w:abstractNumId w:val="6"/>
  </w:num>
  <w:num w:numId="10">
    <w:abstractNumId w:val="1"/>
  </w:num>
  <w:num w:numId="11">
    <w:abstractNumId w:val="19"/>
  </w:num>
  <w:num w:numId="12">
    <w:abstractNumId w:val="29"/>
  </w:num>
  <w:num w:numId="13">
    <w:abstractNumId w:val="30"/>
  </w:num>
  <w:num w:numId="14">
    <w:abstractNumId w:val="22"/>
  </w:num>
  <w:num w:numId="15">
    <w:abstractNumId w:val="10"/>
  </w:num>
  <w:num w:numId="16">
    <w:abstractNumId w:val="27"/>
  </w:num>
  <w:num w:numId="17">
    <w:abstractNumId w:val="5"/>
  </w:num>
  <w:num w:numId="18">
    <w:abstractNumId w:val="26"/>
  </w:num>
  <w:num w:numId="19">
    <w:abstractNumId w:val="25"/>
  </w:num>
  <w:num w:numId="20">
    <w:abstractNumId w:val="7"/>
  </w:num>
  <w:num w:numId="21">
    <w:abstractNumId w:val="8"/>
  </w:num>
  <w:num w:numId="22">
    <w:abstractNumId w:val="24"/>
  </w:num>
  <w:num w:numId="23">
    <w:abstractNumId w:val="28"/>
  </w:num>
  <w:num w:numId="24">
    <w:abstractNumId w:val="31"/>
  </w:num>
  <w:num w:numId="25">
    <w:abstractNumId w:val="33"/>
  </w:num>
  <w:num w:numId="26">
    <w:abstractNumId w:val="17"/>
  </w:num>
  <w:num w:numId="27">
    <w:abstractNumId w:val="4"/>
  </w:num>
  <w:num w:numId="28">
    <w:abstractNumId w:val="4"/>
    <w:lvlOverride w:ilvl="0">
      <w:lvl w:ilvl="0" w:tplc="1E9474C4">
        <w:start w:val="1"/>
        <w:numFmt w:val="decimal"/>
        <w:lvlText w:val="(%1)"/>
        <w:lvlJc w:val="left"/>
        <w:pPr>
          <w:ind w:left="1800" w:hanging="360"/>
        </w:pPr>
        <w:rPr>
          <w:rFonts w:hint="default"/>
        </w:rPr>
      </w:lvl>
    </w:lvlOverride>
    <w:lvlOverride w:ilvl="1">
      <w:lvl w:ilvl="1" w:tplc="0409000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9">
    <w:abstractNumId w:val="13"/>
  </w:num>
  <w:num w:numId="30">
    <w:abstractNumId w:val="9"/>
  </w:num>
  <w:num w:numId="31">
    <w:abstractNumId w:val="0"/>
  </w:num>
  <w:num w:numId="32">
    <w:abstractNumId w:val="3"/>
  </w:num>
  <w:num w:numId="33">
    <w:abstractNumId w:val="16"/>
  </w:num>
  <w:num w:numId="34">
    <w:abstractNumId w:val="18"/>
  </w:num>
  <w:num w:numId="35">
    <w:abstractNumId w:val="23"/>
  </w:num>
  <w:num w:numId="36">
    <w:abstractNumId w:val="11"/>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428"/>
    <w:rsid w:val="00012EDA"/>
    <w:rsid w:val="000237CF"/>
    <w:rsid w:val="00046483"/>
    <w:rsid w:val="000572B2"/>
    <w:rsid w:val="00071682"/>
    <w:rsid w:val="00081265"/>
    <w:rsid w:val="0008223E"/>
    <w:rsid w:val="000B1830"/>
    <w:rsid w:val="000C1FD1"/>
    <w:rsid w:val="000C6F94"/>
    <w:rsid w:val="000D5ECB"/>
    <w:rsid w:val="000E23EC"/>
    <w:rsid w:val="000F0323"/>
    <w:rsid w:val="000F1BC5"/>
    <w:rsid w:val="00110614"/>
    <w:rsid w:val="00121ADD"/>
    <w:rsid w:val="00145201"/>
    <w:rsid w:val="00146D54"/>
    <w:rsid w:val="00154372"/>
    <w:rsid w:val="00174903"/>
    <w:rsid w:val="00182C6F"/>
    <w:rsid w:val="0018703C"/>
    <w:rsid w:val="00197930"/>
    <w:rsid w:val="001A2476"/>
    <w:rsid w:val="001D2D57"/>
    <w:rsid w:val="001E1F2B"/>
    <w:rsid w:val="001E366D"/>
    <w:rsid w:val="001E4172"/>
    <w:rsid w:val="001E5029"/>
    <w:rsid w:val="001F0E20"/>
    <w:rsid w:val="001F58A8"/>
    <w:rsid w:val="002039E3"/>
    <w:rsid w:val="00220FF4"/>
    <w:rsid w:val="0022371A"/>
    <w:rsid w:val="00232C72"/>
    <w:rsid w:val="00247F72"/>
    <w:rsid w:val="00273B3C"/>
    <w:rsid w:val="00274D07"/>
    <w:rsid w:val="00275ACD"/>
    <w:rsid w:val="00276D29"/>
    <w:rsid w:val="00282A07"/>
    <w:rsid w:val="002833F7"/>
    <w:rsid w:val="00292C55"/>
    <w:rsid w:val="002A26DD"/>
    <w:rsid w:val="002A41EF"/>
    <w:rsid w:val="002D3120"/>
    <w:rsid w:val="002D34AF"/>
    <w:rsid w:val="002D5B90"/>
    <w:rsid w:val="002E2B61"/>
    <w:rsid w:val="0030674C"/>
    <w:rsid w:val="003073E9"/>
    <w:rsid w:val="0031711F"/>
    <w:rsid w:val="00317C98"/>
    <w:rsid w:val="0032484F"/>
    <w:rsid w:val="0033447E"/>
    <w:rsid w:val="0034059C"/>
    <w:rsid w:val="003416F5"/>
    <w:rsid w:val="00351F01"/>
    <w:rsid w:val="00354613"/>
    <w:rsid w:val="00367598"/>
    <w:rsid w:val="00381FEB"/>
    <w:rsid w:val="003A55CE"/>
    <w:rsid w:val="003B43C6"/>
    <w:rsid w:val="003B48CD"/>
    <w:rsid w:val="003C795F"/>
    <w:rsid w:val="003D43F6"/>
    <w:rsid w:val="003E0C9F"/>
    <w:rsid w:val="003E36F0"/>
    <w:rsid w:val="003E6C67"/>
    <w:rsid w:val="003F21FC"/>
    <w:rsid w:val="003F5616"/>
    <w:rsid w:val="00413F16"/>
    <w:rsid w:val="0041688B"/>
    <w:rsid w:val="004427BE"/>
    <w:rsid w:val="00451D07"/>
    <w:rsid w:val="004579EF"/>
    <w:rsid w:val="00457CBC"/>
    <w:rsid w:val="00460DB8"/>
    <w:rsid w:val="00465A2A"/>
    <w:rsid w:val="0049701C"/>
    <w:rsid w:val="004B42C5"/>
    <w:rsid w:val="004D51BD"/>
    <w:rsid w:val="004E22DF"/>
    <w:rsid w:val="005012FB"/>
    <w:rsid w:val="00507663"/>
    <w:rsid w:val="00522D98"/>
    <w:rsid w:val="00530C95"/>
    <w:rsid w:val="00535024"/>
    <w:rsid w:val="00540BDC"/>
    <w:rsid w:val="005459DB"/>
    <w:rsid w:val="0054655F"/>
    <w:rsid w:val="00551767"/>
    <w:rsid w:val="00553B3D"/>
    <w:rsid w:val="005968EC"/>
    <w:rsid w:val="005A7353"/>
    <w:rsid w:val="005A74C1"/>
    <w:rsid w:val="005B258D"/>
    <w:rsid w:val="005B2C7E"/>
    <w:rsid w:val="005B3D10"/>
    <w:rsid w:val="005B50A2"/>
    <w:rsid w:val="00604428"/>
    <w:rsid w:val="006145A8"/>
    <w:rsid w:val="006216A8"/>
    <w:rsid w:val="00627251"/>
    <w:rsid w:val="00644B5A"/>
    <w:rsid w:val="00650F8C"/>
    <w:rsid w:val="006705CF"/>
    <w:rsid w:val="00672638"/>
    <w:rsid w:val="00674E75"/>
    <w:rsid w:val="0068652F"/>
    <w:rsid w:val="006A2F08"/>
    <w:rsid w:val="006B22CE"/>
    <w:rsid w:val="006B35EC"/>
    <w:rsid w:val="006B6D82"/>
    <w:rsid w:val="006C0CA1"/>
    <w:rsid w:val="006D7317"/>
    <w:rsid w:val="006E170E"/>
    <w:rsid w:val="006F1F8E"/>
    <w:rsid w:val="00705A33"/>
    <w:rsid w:val="00705CB3"/>
    <w:rsid w:val="00711152"/>
    <w:rsid w:val="00727C02"/>
    <w:rsid w:val="00735CDF"/>
    <w:rsid w:val="00743BFD"/>
    <w:rsid w:val="00745544"/>
    <w:rsid w:val="007479D4"/>
    <w:rsid w:val="00764CA1"/>
    <w:rsid w:val="007702C8"/>
    <w:rsid w:val="00774640"/>
    <w:rsid w:val="0078065B"/>
    <w:rsid w:val="007817A3"/>
    <w:rsid w:val="00790AF5"/>
    <w:rsid w:val="007947CE"/>
    <w:rsid w:val="007A649B"/>
    <w:rsid w:val="007B032E"/>
    <w:rsid w:val="007B2614"/>
    <w:rsid w:val="007B4BE5"/>
    <w:rsid w:val="007C4C57"/>
    <w:rsid w:val="007D12B4"/>
    <w:rsid w:val="007F70BA"/>
    <w:rsid w:val="008077D5"/>
    <w:rsid w:val="008116DE"/>
    <w:rsid w:val="00833B58"/>
    <w:rsid w:val="008456BB"/>
    <w:rsid w:val="00852422"/>
    <w:rsid w:val="00863899"/>
    <w:rsid w:val="00887C3C"/>
    <w:rsid w:val="00895112"/>
    <w:rsid w:val="008962A0"/>
    <w:rsid w:val="008A628E"/>
    <w:rsid w:val="008A69E7"/>
    <w:rsid w:val="008A707F"/>
    <w:rsid w:val="008B1B4F"/>
    <w:rsid w:val="008B50C9"/>
    <w:rsid w:val="008C47DE"/>
    <w:rsid w:val="008F3DA3"/>
    <w:rsid w:val="009023D9"/>
    <w:rsid w:val="0090465B"/>
    <w:rsid w:val="009055A6"/>
    <w:rsid w:val="0091702A"/>
    <w:rsid w:val="00935BAE"/>
    <w:rsid w:val="009373DD"/>
    <w:rsid w:val="00943AEB"/>
    <w:rsid w:val="00943F66"/>
    <w:rsid w:val="00951D07"/>
    <w:rsid w:val="009562AA"/>
    <w:rsid w:val="00957593"/>
    <w:rsid w:val="00971088"/>
    <w:rsid w:val="009800C5"/>
    <w:rsid w:val="009D638D"/>
    <w:rsid w:val="009D7D76"/>
    <w:rsid w:val="009E393E"/>
    <w:rsid w:val="009F2550"/>
    <w:rsid w:val="00A13F55"/>
    <w:rsid w:val="00A153AC"/>
    <w:rsid w:val="00A20148"/>
    <w:rsid w:val="00A31222"/>
    <w:rsid w:val="00A377CD"/>
    <w:rsid w:val="00A42178"/>
    <w:rsid w:val="00A45C90"/>
    <w:rsid w:val="00A7041F"/>
    <w:rsid w:val="00A718F4"/>
    <w:rsid w:val="00A90442"/>
    <w:rsid w:val="00A922AC"/>
    <w:rsid w:val="00A935C1"/>
    <w:rsid w:val="00A93A38"/>
    <w:rsid w:val="00AA6B38"/>
    <w:rsid w:val="00AB1FE9"/>
    <w:rsid w:val="00AB2C1C"/>
    <w:rsid w:val="00AC111C"/>
    <w:rsid w:val="00AD5ED3"/>
    <w:rsid w:val="00AD7B10"/>
    <w:rsid w:val="00AE1BF8"/>
    <w:rsid w:val="00AE639E"/>
    <w:rsid w:val="00AE769F"/>
    <w:rsid w:val="00B05510"/>
    <w:rsid w:val="00B20BB0"/>
    <w:rsid w:val="00B257BD"/>
    <w:rsid w:val="00B375B3"/>
    <w:rsid w:val="00B54BF5"/>
    <w:rsid w:val="00B57BD9"/>
    <w:rsid w:val="00B60252"/>
    <w:rsid w:val="00B614F2"/>
    <w:rsid w:val="00B67100"/>
    <w:rsid w:val="00B74CB8"/>
    <w:rsid w:val="00BA067C"/>
    <w:rsid w:val="00BA614B"/>
    <w:rsid w:val="00BA7546"/>
    <w:rsid w:val="00BD5346"/>
    <w:rsid w:val="00BD534D"/>
    <w:rsid w:val="00BF3324"/>
    <w:rsid w:val="00BF665B"/>
    <w:rsid w:val="00C10E3C"/>
    <w:rsid w:val="00C41598"/>
    <w:rsid w:val="00C46872"/>
    <w:rsid w:val="00C53173"/>
    <w:rsid w:val="00C56F59"/>
    <w:rsid w:val="00C7506A"/>
    <w:rsid w:val="00C844D9"/>
    <w:rsid w:val="00CA4BBF"/>
    <w:rsid w:val="00CA5135"/>
    <w:rsid w:val="00CA51E7"/>
    <w:rsid w:val="00CB620E"/>
    <w:rsid w:val="00CB79B2"/>
    <w:rsid w:val="00CC1D48"/>
    <w:rsid w:val="00CD554E"/>
    <w:rsid w:val="00CF3395"/>
    <w:rsid w:val="00D0058A"/>
    <w:rsid w:val="00D0377A"/>
    <w:rsid w:val="00D04E30"/>
    <w:rsid w:val="00D11A55"/>
    <w:rsid w:val="00D11DC6"/>
    <w:rsid w:val="00D1263A"/>
    <w:rsid w:val="00D161B7"/>
    <w:rsid w:val="00D305FD"/>
    <w:rsid w:val="00D30D75"/>
    <w:rsid w:val="00D42DF4"/>
    <w:rsid w:val="00D52EAB"/>
    <w:rsid w:val="00D64012"/>
    <w:rsid w:val="00D74718"/>
    <w:rsid w:val="00D77E55"/>
    <w:rsid w:val="00D83AD8"/>
    <w:rsid w:val="00D91109"/>
    <w:rsid w:val="00DA2EE1"/>
    <w:rsid w:val="00DC66A7"/>
    <w:rsid w:val="00DD19BA"/>
    <w:rsid w:val="00DD7674"/>
    <w:rsid w:val="00DF3A1C"/>
    <w:rsid w:val="00DF5956"/>
    <w:rsid w:val="00E054EC"/>
    <w:rsid w:val="00E21BA2"/>
    <w:rsid w:val="00E25286"/>
    <w:rsid w:val="00E317EC"/>
    <w:rsid w:val="00E4437E"/>
    <w:rsid w:val="00E4439B"/>
    <w:rsid w:val="00E54962"/>
    <w:rsid w:val="00E569E6"/>
    <w:rsid w:val="00E66BF2"/>
    <w:rsid w:val="00E83B7F"/>
    <w:rsid w:val="00E907FE"/>
    <w:rsid w:val="00EB1BF8"/>
    <w:rsid w:val="00EB577C"/>
    <w:rsid w:val="00ED0107"/>
    <w:rsid w:val="00ED2836"/>
    <w:rsid w:val="00ED3429"/>
    <w:rsid w:val="00ED5D37"/>
    <w:rsid w:val="00EE14EF"/>
    <w:rsid w:val="00EF56AB"/>
    <w:rsid w:val="00EF6FDD"/>
    <w:rsid w:val="00F37D5D"/>
    <w:rsid w:val="00F4538B"/>
    <w:rsid w:val="00F57A60"/>
    <w:rsid w:val="00F65331"/>
    <w:rsid w:val="00F7377B"/>
    <w:rsid w:val="00F7759A"/>
    <w:rsid w:val="00F82AFC"/>
    <w:rsid w:val="00F86457"/>
    <w:rsid w:val="00FA30DC"/>
    <w:rsid w:val="00FA7940"/>
    <w:rsid w:val="00FB7272"/>
    <w:rsid w:val="00FD131B"/>
    <w:rsid w:val="00FE008A"/>
    <w:rsid w:val="00FF1FEF"/>
    <w:rsid w:val="00FF5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C6E313"/>
  <w15:chartTrackingRefBased/>
  <w15:docId w15:val="{5488794C-813C-45AE-A8F6-70DB87BB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579EF"/>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tabs>
        <w:tab w:val="left" w:pos="-1440"/>
        <w:tab w:val="left" w:pos="-720"/>
        <w:tab w:val="left" w:pos="0"/>
        <w:tab w:val="left" w:pos="540"/>
        <w:tab w:val="left" w:pos="1320"/>
        <w:tab w:val="left" w:pos="20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540"/>
      <w:jc w:val="both"/>
    </w:pPr>
    <w:rPr>
      <w:rFonts w:ascii="CG Times" w:hAnsi="CG Times"/>
      <w:spacing w:val="-2"/>
      <w:sz w:val="21"/>
    </w:rPr>
  </w:style>
  <w:style w:type="paragraph" w:styleId="BodyText">
    <w:name w:val="Body Text"/>
    <w:basedOn w:val="Normal"/>
    <w:pPr>
      <w:tabs>
        <w:tab w:val="left" w:pos="-1440"/>
        <w:tab w:val="left" w:pos="-720"/>
        <w:tab w:val="left" w:pos="0"/>
        <w:tab w:val="left" w:pos="600"/>
        <w:tab w:val="left" w:pos="1320"/>
        <w:tab w:val="left" w:pos="20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pPr>
    <w:rPr>
      <w:rFonts w:ascii="CG Times" w:hAnsi="CG Times"/>
      <w:i/>
      <w:spacing w:val="-2"/>
      <w:sz w:val="21"/>
    </w:rPr>
  </w:style>
  <w:style w:type="paragraph" w:styleId="BodyTextIndent2">
    <w:name w:val="Body Text Indent 2"/>
    <w:basedOn w:val="Normal"/>
    <w:pPr>
      <w:tabs>
        <w:tab w:val="left" w:pos="-1440"/>
        <w:tab w:val="left" w:pos="-720"/>
        <w:tab w:val="left" w:pos="0"/>
        <w:tab w:val="left" w:pos="600"/>
        <w:tab w:val="left" w:pos="1320"/>
        <w:tab w:val="left" w:pos="20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200" w:hanging="600"/>
      <w:jc w:val="both"/>
    </w:pPr>
    <w:rPr>
      <w:rFonts w:ascii="CG Times" w:hAnsi="CG Times"/>
      <w:spacing w:val="-2"/>
      <w:sz w:val="21"/>
    </w:rPr>
  </w:style>
  <w:style w:type="character" w:styleId="Hyperlink">
    <w:name w:val="Hyperlink"/>
    <w:rsid w:val="003F21FC"/>
    <w:rPr>
      <w:color w:val="0000FF"/>
      <w:u w:val="single"/>
    </w:rPr>
  </w:style>
  <w:style w:type="character" w:styleId="FollowedHyperlink">
    <w:name w:val="FollowedHyperlink"/>
    <w:rsid w:val="00E569E6"/>
    <w:rPr>
      <w:color w:val="800080"/>
      <w:u w:val="single"/>
    </w:rPr>
  </w:style>
  <w:style w:type="paragraph" w:styleId="BalloonText">
    <w:name w:val="Balloon Text"/>
    <w:basedOn w:val="Normal"/>
    <w:link w:val="BalloonTextChar"/>
    <w:rsid w:val="00774640"/>
    <w:rPr>
      <w:rFonts w:ascii="Tahoma" w:hAnsi="Tahoma" w:cs="Tahoma"/>
      <w:sz w:val="16"/>
      <w:szCs w:val="16"/>
    </w:rPr>
  </w:style>
  <w:style w:type="character" w:customStyle="1" w:styleId="BalloonTextChar">
    <w:name w:val="Balloon Text Char"/>
    <w:link w:val="BalloonText"/>
    <w:rsid w:val="00774640"/>
    <w:rPr>
      <w:rFonts w:ascii="Tahoma" w:hAnsi="Tahoma" w:cs="Tahoma"/>
      <w:sz w:val="16"/>
      <w:szCs w:val="16"/>
    </w:rPr>
  </w:style>
  <w:style w:type="character" w:styleId="CommentReference">
    <w:name w:val="annotation reference"/>
    <w:rsid w:val="00863899"/>
    <w:rPr>
      <w:sz w:val="16"/>
      <w:szCs w:val="16"/>
    </w:rPr>
  </w:style>
  <w:style w:type="paragraph" w:styleId="CommentText">
    <w:name w:val="annotation text"/>
    <w:basedOn w:val="Normal"/>
    <w:link w:val="CommentTextChar"/>
    <w:rsid w:val="00863899"/>
    <w:rPr>
      <w:sz w:val="20"/>
    </w:rPr>
  </w:style>
  <w:style w:type="character" w:customStyle="1" w:styleId="CommentTextChar">
    <w:name w:val="Comment Text Char"/>
    <w:basedOn w:val="DefaultParagraphFont"/>
    <w:link w:val="CommentText"/>
    <w:rsid w:val="00863899"/>
  </w:style>
  <w:style w:type="paragraph" w:styleId="CommentSubject">
    <w:name w:val="annotation subject"/>
    <w:basedOn w:val="CommentText"/>
    <w:next w:val="CommentText"/>
    <w:link w:val="CommentSubjectChar"/>
    <w:rsid w:val="00863899"/>
    <w:rPr>
      <w:b/>
      <w:bCs/>
    </w:rPr>
  </w:style>
  <w:style w:type="character" w:customStyle="1" w:styleId="CommentSubjectChar">
    <w:name w:val="Comment Subject Char"/>
    <w:link w:val="CommentSubject"/>
    <w:rsid w:val="00863899"/>
    <w:rPr>
      <w:b/>
      <w:bCs/>
    </w:rPr>
  </w:style>
  <w:style w:type="paragraph" w:styleId="ListParagraph">
    <w:name w:val="List Paragraph"/>
    <w:basedOn w:val="Normal"/>
    <w:uiPriority w:val="34"/>
    <w:qFormat/>
    <w:rsid w:val="004D51BD"/>
    <w:pPr>
      <w:ind w:left="720"/>
      <w:contextualSpacing/>
    </w:pPr>
  </w:style>
  <w:style w:type="paragraph" w:styleId="Revision">
    <w:name w:val="Revision"/>
    <w:hidden/>
    <w:uiPriority w:val="99"/>
    <w:semiHidden/>
    <w:rsid w:val="003E36F0"/>
    <w:rPr>
      <w:sz w:val="24"/>
    </w:rPr>
  </w:style>
  <w:style w:type="character" w:styleId="UnresolvedMention">
    <w:name w:val="Unresolved Mention"/>
    <w:basedOn w:val="DefaultParagraphFont"/>
    <w:uiPriority w:val="99"/>
    <w:semiHidden/>
    <w:unhideWhenUsed/>
    <w:rsid w:val="007C4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58864">
      <w:bodyDiv w:val="1"/>
      <w:marLeft w:val="0"/>
      <w:marRight w:val="0"/>
      <w:marTop w:val="0"/>
      <w:marBottom w:val="0"/>
      <w:divBdr>
        <w:top w:val="none" w:sz="0" w:space="0" w:color="auto"/>
        <w:left w:val="none" w:sz="0" w:space="0" w:color="auto"/>
        <w:bottom w:val="none" w:sz="0" w:space="0" w:color="auto"/>
        <w:right w:val="none" w:sz="0" w:space="0" w:color="auto"/>
      </w:divBdr>
    </w:div>
    <w:div w:id="274294476">
      <w:bodyDiv w:val="1"/>
      <w:marLeft w:val="0"/>
      <w:marRight w:val="0"/>
      <w:marTop w:val="0"/>
      <w:marBottom w:val="0"/>
      <w:divBdr>
        <w:top w:val="none" w:sz="0" w:space="0" w:color="auto"/>
        <w:left w:val="none" w:sz="0" w:space="0" w:color="auto"/>
        <w:bottom w:val="none" w:sz="0" w:space="0" w:color="auto"/>
        <w:right w:val="none" w:sz="0" w:space="0" w:color="auto"/>
      </w:divBdr>
    </w:div>
    <w:div w:id="291906760">
      <w:bodyDiv w:val="1"/>
      <w:marLeft w:val="0"/>
      <w:marRight w:val="0"/>
      <w:marTop w:val="0"/>
      <w:marBottom w:val="0"/>
      <w:divBdr>
        <w:top w:val="none" w:sz="0" w:space="0" w:color="auto"/>
        <w:left w:val="none" w:sz="0" w:space="0" w:color="auto"/>
        <w:bottom w:val="none" w:sz="0" w:space="0" w:color="auto"/>
        <w:right w:val="none" w:sz="0" w:space="0" w:color="auto"/>
      </w:divBdr>
    </w:div>
    <w:div w:id="466439659">
      <w:bodyDiv w:val="1"/>
      <w:marLeft w:val="0"/>
      <w:marRight w:val="0"/>
      <w:marTop w:val="0"/>
      <w:marBottom w:val="0"/>
      <w:divBdr>
        <w:top w:val="none" w:sz="0" w:space="0" w:color="auto"/>
        <w:left w:val="none" w:sz="0" w:space="0" w:color="auto"/>
        <w:bottom w:val="none" w:sz="0" w:space="0" w:color="auto"/>
        <w:right w:val="none" w:sz="0" w:space="0" w:color="auto"/>
      </w:divBdr>
    </w:div>
    <w:div w:id="585921190">
      <w:bodyDiv w:val="1"/>
      <w:marLeft w:val="0"/>
      <w:marRight w:val="0"/>
      <w:marTop w:val="0"/>
      <w:marBottom w:val="0"/>
      <w:divBdr>
        <w:top w:val="none" w:sz="0" w:space="0" w:color="auto"/>
        <w:left w:val="none" w:sz="0" w:space="0" w:color="auto"/>
        <w:bottom w:val="none" w:sz="0" w:space="0" w:color="auto"/>
        <w:right w:val="none" w:sz="0" w:space="0" w:color="auto"/>
      </w:divBdr>
    </w:div>
    <w:div w:id="73180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hansen@2itshelp.com" TargetMode="External"/><Relationship Id="rId18" Type="http://schemas.openxmlformats.org/officeDocument/2006/relationships/hyperlink" Target="mailto:lsundstrom@nas.edu?subject=NCHRP%20FY2019%20Problem%20Statement%20Submitta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joanne@tapconet.com" TargetMode="External"/><Relationship Id="rId17" Type="http://schemas.openxmlformats.org/officeDocument/2006/relationships/hyperlink" Target="http://bit.ly/NCHRPFY2021" TargetMode="External"/><Relationship Id="rId2" Type="http://schemas.openxmlformats.org/officeDocument/2006/relationships/styles" Target="styles.xml"/><Relationship Id="rId16" Type="http://schemas.openxmlformats.org/officeDocument/2006/relationships/hyperlink" Target="mailto:kezhen.shen@nema.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herreraalonso@mmm.com" TargetMode="External"/><Relationship Id="rId5" Type="http://schemas.openxmlformats.org/officeDocument/2006/relationships/footnotes" Target="footnotes.xml"/><Relationship Id="rId15" Type="http://schemas.openxmlformats.org/officeDocument/2006/relationships/hyperlink" Target="mailto:randy.mccourt@gmail.com" TargetMode="External"/><Relationship Id="rId10" Type="http://schemas.openxmlformats.org/officeDocument/2006/relationships/hyperlink" Target="mailto:pciupa4800@gmail.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mukai@mdta.state.md.us" TargetMode="External"/><Relationship Id="rId14" Type="http://schemas.openxmlformats.org/officeDocument/2006/relationships/hyperlink" Target="mailto:angel.ramos@atssa.com" TargetMode="External"/><Relationship Id="rId22"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s://gcc01.safelinks.protection.outlook.com/?url=https%3A%2F%2Fnews.ihsmarkit.com%2Fprviewer%2Frelease_only%2Fslug%2Fautomotive-average-age-cars-and-light-trucks-us-rises-again-2019-118-years-ihs-markit-&amp;data=02%7C01%7Crmukai%40mdta.state.md.us%7C2b08a20ba54d47876be208d811421584%7Cb38cd27c57ca4597be2822df43dd47f1%7C0%7C0%7C637278322831963273&amp;sdata=4ggNKGgT1NK9yirOEKFHwEtSftKQNLVvSUuqtSrk%2Fc0%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ATTACHMENT TO BTS LETTER</vt:lpstr>
    </vt:vector>
  </TitlesOfParts>
  <Company>National Academy of Sciences</Company>
  <LinksUpToDate>false</LinksUpToDate>
  <CharactersWithSpaces>12905</CharactersWithSpaces>
  <SharedDoc>false</SharedDoc>
  <HLinks>
    <vt:vector size="36" baseType="variant">
      <vt:variant>
        <vt:i4>5177465</vt:i4>
      </vt:variant>
      <vt:variant>
        <vt:i4>18</vt:i4>
      </vt:variant>
      <vt:variant>
        <vt:i4>0</vt:i4>
      </vt:variant>
      <vt:variant>
        <vt:i4>5</vt:i4>
      </vt:variant>
      <vt:variant>
        <vt:lpwstr>mailto:lsundstrom@nas.edu?subject=NCHRP%20FY2019%20Problem%20Statement%20Submittal</vt:lpwstr>
      </vt:variant>
      <vt:variant>
        <vt:lpwstr/>
      </vt:variant>
      <vt:variant>
        <vt:i4>983116</vt:i4>
      </vt:variant>
      <vt:variant>
        <vt:i4>15</vt:i4>
      </vt:variant>
      <vt:variant>
        <vt:i4>0</vt:i4>
      </vt:variant>
      <vt:variant>
        <vt:i4>5</vt:i4>
      </vt:variant>
      <vt:variant>
        <vt:lpwstr>http://bit.ly/NCHRP2020Submittal</vt:lpwstr>
      </vt:variant>
      <vt:variant>
        <vt:lpwstr/>
      </vt:variant>
      <vt:variant>
        <vt:i4>7733334</vt:i4>
      </vt:variant>
      <vt:variant>
        <vt:i4>12</vt:i4>
      </vt:variant>
      <vt:variant>
        <vt:i4>0</vt:i4>
      </vt:variant>
      <vt:variant>
        <vt:i4>5</vt:i4>
      </vt:variant>
      <vt:variant>
        <vt:lpwstr>mailto:trblibrary@nas.edu</vt:lpwstr>
      </vt:variant>
      <vt:variant>
        <vt:lpwstr/>
      </vt:variant>
      <vt:variant>
        <vt:i4>8060988</vt:i4>
      </vt:variant>
      <vt:variant>
        <vt:i4>9</vt:i4>
      </vt:variant>
      <vt:variant>
        <vt:i4>0</vt:i4>
      </vt:variant>
      <vt:variant>
        <vt:i4>5</vt:i4>
      </vt:variant>
      <vt:variant>
        <vt:lpwstr>http://www.trb.org/Publications/Blurbs/172271.aspx</vt:lpwstr>
      </vt:variant>
      <vt:variant>
        <vt:lpwstr/>
      </vt:variant>
      <vt:variant>
        <vt:i4>3604576</vt:i4>
      </vt:variant>
      <vt:variant>
        <vt:i4>6</vt:i4>
      </vt:variant>
      <vt:variant>
        <vt:i4>0</vt:i4>
      </vt:variant>
      <vt:variant>
        <vt:i4>5</vt:i4>
      </vt:variant>
      <vt:variant>
        <vt:lpwstr>http://rip.trb.org/</vt:lpwstr>
      </vt:variant>
      <vt:variant>
        <vt:lpwstr/>
      </vt:variant>
      <vt:variant>
        <vt:i4>1638401</vt:i4>
      </vt:variant>
      <vt:variant>
        <vt:i4>3</vt:i4>
      </vt:variant>
      <vt:variant>
        <vt:i4>0</vt:i4>
      </vt:variant>
      <vt:variant>
        <vt:i4>5</vt:i4>
      </vt:variant>
      <vt:variant>
        <vt:lpwstr>http://trid.trb.org/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TO BTS LETTER</dc:title>
  <dc:subject/>
  <dc:creator>NAS</dc:creator>
  <cp:keywords/>
  <cp:lastModifiedBy>Roxane Mukai</cp:lastModifiedBy>
  <cp:revision>3</cp:revision>
  <cp:lastPrinted>2019-07-02T23:06:00Z</cp:lastPrinted>
  <dcterms:created xsi:type="dcterms:W3CDTF">2020-07-29T14:25:00Z</dcterms:created>
  <dcterms:modified xsi:type="dcterms:W3CDTF">2020-07-29T14:32:00Z</dcterms:modified>
</cp:coreProperties>
</file>